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pptx" ContentType="application/vnd.openxmlformats-officedocument.presentationml.presentation"/>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B3322E" w14:textId="2875713A" w:rsidR="00421F0D" w:rsidRPr="007846E3" w:rsidRDefault="007A6F38" w:rsidP="002F6848">
      <w:pPr>
        <w:jc w:val="center"/>
        <w:rPr>
          <w:rFonts w:ascii="Century Gothic" w:hAnsi="Century Gothic"/>
          <w:b/>
          <w:bCs/>
          <w:sz w:val="36"/>
          <w:szCs w:val="36"/>
        </w:rPr>
      </w:pPr>
      <w:bookmarkStart w:id="0" w:name="_Toc134598041"/>
      <w:r>
        <w:rPr>
          <w:noProof/>
        </w:rPr>
        <w:drawing>
          <wp:anchor distT="0" distB="0" distL="114300" distR="114300" simplePos="0" relativeHeight="251658243" behindDoc="0" locked="0" layoutInCell="1" allowOverlap="1" wp14:anchorId="64807004" wp14:editId="4285CD53">
            <wp:simplePos x="0" y="0"/>
            <wp:positionH relativeFrom="page">
              <wp:align>right</wp:align>
            </wp:positionH>
            <wp:positionV relativeFrom="paragraph">
              <wp:posOffset>-714262</wp:posOffset>
            </wp:positionV>
            <wp:extent cx="7553209" cy="10675414"/>
            <wp:effectExtent l="0" t="0" r="0" b="5715"/>
            <wp:wrapNone/>
            <wp:docPr id="96" name="Picture 96">
              <a:extLst xmlns:a="http://schemas.openxmlformats.org/drawingml/2006/main">
                <a:ext uri="{FF2B5EF4-FFF2-40B4-BE49-F238E27FC236}">
                  <a16:creationId xmlns:a16="http://schemas.microsoft.com/office/drawing/2014/main" id="{536FF64B-4C14-0045-9A4D-E457227E60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5">
                      <a:extLst>
                        <a:ext uri="{FF2B5EF4-FFF2-40B4-BE49-F238E27FC236}">
                          <a16:creationId xmlns:a16="http://schemas.microsoft.com/office/drawing/2014/main" id="{536FF64B-4C14-0045-9A4D-E457227E6034}"/>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a:stretch/>
                  </pic:blipFill>
                  <pic:spPr>
                    <a:xfrm>
                      <a:off x="0" y="0"/>
                      <a:ext cx="7553209" cy="10675414"/>
                    </a:xfrm>
                    <a:prstGeom prst="rect">
                      <a:avLst/>
                    </a:prstGeom>
                  </pic:spPr>
                </pic:pic>
              </a:graphicData>
            </a:graphic>
            <wp14:sizeRelH relativeFrom="margin">
              <wp14:pctWidth>0</wp14:pctWidth>
            </wp14:sizeRelH>
            <wp14:sizeRelV relativeFrom="margin">
              <wp14:pctHeight>0</wp14:pctHeight>
            </wp14:sizeRelV>
          </wp:anchor>
        </w:drawing>
      </w:r>
      <w:bookmarkStart w:id="1" w:name="_Hlk139611246"/>
      <w:bookmarkEnd w:id="1"/>
      <w:r w:rsidR="00D21F2E">
        <w:rPr>
          <w:noProof/>
        </w:rPr>
        <mc:AlternateContent>
          <mc:Choice Requires="wpg">
            <w:drawing>
              <wp:anchor distT="0" distB="0" distL="114300" distR="114300" simplePos="0" relativeHeight="251658247" behindDoc="0" locked="0" layoutInCell="1" allowOverlap="1" wp14:anchorId="4082AD69" wp14:editId="203C3151">
                <wp:simplePos x="0" y="0"/>
                <wp:positionH relativeFrom="column">
                  <wp:posOffset>-480060</wp:posOffset>
                </wp:positionH>
                <wp:positionV relativeFrom="paragraph">
                  <wp:posOffset>-548005</wp:posOffset>
                </wp:positionV>
                <wp:extent cx="5413375" cy="4019550"/>
                <wp:effectExtent l="0" t="0" r="0" b="0"/>
                <wp:wrapNone/>
                <wp:docPr id="7" name="Group 7"/>
                <wp:cNvGraphicFramePr/>
                <a:graphic xmlns:a="http://schemas.openxmlformats.org/drawingml/2006/main">
                  <a:graphicData uri="http://schemas.microsoft.com/office/word/2010/wordprocessingGroup">
                    <wpg:wgp>
                      <wpg:cNvGrpSpPr/>
                      <wpg:grpSpPr>
                        <a:xfrm>
                          <a:off x="0" y="0"/>
                          <a:ext cx="5413375" cy="4019550"/>
                          <a:chOff x="434973" y="190501"/>
                          <a:chExt cx="3727450" cy="3159125"/>
                        </a:xfrm>
                        <a:solidFill>
                          <a:schemeClr val="tx1">
                            <a:lumMod val="65000"/>
                            <a:lumOff val="35000"/>
                          </a:schemeClr>
                        </a:solidFill>
                      </wpg:grpSpPr>
                      <wps:wsp>
                        <wps:cNvPr id="8" name="Freeform 25"/>
                        <wps:cNvSpPr>
                          <a:spLocks/>
                        </wps:cNvSpPr>
                        <wps:spPr bwMode="auto">
                          <a:xfrm>
                            <a:off x="434973" y="190501"/>
                            <a:ext cx="3727450" cy="3159125"/>
                          </a:xfrm>
                          <a:custGeom>
                            <a:avLst/>
                            <a:gdLst>
                              <a:gd name="T0" fmla="*/ 0 w 2348"/>
                              <a:gd name="T1" fmla="*/ 414 h 1990"/>
                              <a:gd name="T2" fmla="*/ 0 w 2348"/>
                              <a:gd name="T3" fmla="*/ 1814 h 1990"/>
                              <a:gd name="T4" fmla="*/ 88 w 2348"/>
                              <a:gd name="T5" fmla="*/ 1814 h 1990"/>
                              <a:gd name="T6" fmla="*/ 88 w 2348"/>
                              <a:gd name="T7" fmla="*/ 491 h 1990"/>
                              <a:gd name="T8" fmla="*/ 2262 w 2348"/>
                              <a:gd name="T9" fmla="*/ 109 h 1990"/>
                              <a:gd name="T10" fmla="*/ 2262 w 2348"/>
                              <a:gd name="T11" fmla="*/ 1902 h 1990"/>
                              <a:gd name="T12" fmla="*/ 522 w 2348"/>
                              <a:gd name="T13" fmla="*/ 1902 h 1990"/>
                              <a:gd name="T14" fmla="*/ 522 w 2348"/>
                              <a:gd name="T15" fmla="*/ 1990 h 1990"/>
                              <a:gd name="T16" fmla="*/ 2348 w 2348"/>
                              <a:gd name="T17" fmla="*/ 1990 h 1990"/>
                              <a:gd name="T18" fmla="*/ 2348 w 2348"/>
                              <a:gd name="T19" fmla="*/ 0 h 1990"/>
                              <a:gd name="T20" fmla="*/ 0 w 2348"/>
                              <a:gd name="T21" fmla="*/ 414 h 19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348" h="1990">
                                <a:moveTo>
                                  <a:pt x="0" y="414"/>
                                </a:moveTo>
                                <a:lnTo>
                                  <a:pt x="0" y="1814"/>
                                </a:lnTo>
                                <a:lnTo>
                                  <a:pt x="88" y="1814"/>
                                </a:lnTo>
                                <a:lnTo>
                                  <a:pt x="88" y="491"/>
                                </a:lnTo>
                                <a:lnTo>
                                  <a:pt x="2262" y="109"/>
                                </a:lnTo>
                                <a:lnTo>
                                  <a:pt x="2262" y="1902"/>
                                </a:lnTo>
                                <a:lnTo>
                                  <a:pt x="522" y="1902"/>
                                </a:lnTo>
                                <a:lnTo>
                                  <a:pt x="522" y="1990"/>
                                </a:lnTo>
                                <a:lnTo>
                                  <a:pt x="2348" y="1990"/>
                                </a:lnTo>
                                <a:lnTo>
                                  <a:pt x="2348" y="0"/>
                                </a:lnTo>
                                <a:lnTo>
                                  <a:pt x="0" y="41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 name="Rectangle 9"/>
                        <wps:cNvSpPr>
                          <a:spLocks noChangeArrowheads="1"/>
                        </wps:cNvSpPr>
                        <wps:spPr bwMode="auto">
                          <a:xfrm>
                            <a:off x="434973" y="3209926"/>
                            <a:ext cx="139700" cy="13970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0" name="Rectangle 10"/>
                        <wps:cNvSpPr>
                          <a:spLocks noChangeArrowheads="1"/>
                        </wps:cNvSpPr>
                        <wps:spPr bwMode="auto">
                          <a:xfrm>
                            <a:off x="709611" y="3209926"/>
                            <a:ext cx="139700" cy="13970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1" name="Rectangle 11"/>
                        <wps:cNvSpPr>
                          <a:spLocks noChangeArrowheads="1"/>
                        </wps:cNvSpPr>
                        <wps:spPr bwMode="auto">
                          <a:xfrm>
                            <a:off x="989011" y="3209926"/>
                            <a:ext cx="134938" cy="13970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3E1FA919" id="Group 7" o:spid="_x0000_s1026" style="position:absolute;margin-left:-37.8pt;margin-top:-43.15pt;width:426.25pt;height:316.5pt;z-index:251658247" coordorigin="4349,1905" coordsize="37274,31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">
                <v:shape id="Freeform 25" o:spid="_x0000_s1027" style="position:absolute;left:4349;top:1905;width:37275;height:31591;visibility:visible;mso-wrap-style:square;v-text-anchor:top" coordsize="2348,1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" path="m,414l,1814r88,l88,491,2262,109r,1793l522,1902r,88l2348,1990,2348,,,414xe" filled="f" stroked="f">
                  <v:path arrowok="t" o:connecttype="custom" o:connectlocs="0,657225;0,2879725;139700,2879725;139700,779463;3590925,173038;3590925,3019425;828675,3019425;828675,3159125;3727450,3159125;3727450,0;0,657225" o:connectangles="0,0,0,0,0,0,0,0,0,0,0"/>
                </v:shape>
                <v:rect id="Rectangle 9" o:spid="_x0000_s1028" style="position:absolute;left:4349;top:32099;width:1397;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" filled="f" stroked="f"/>
                <v:rect id="Rectangle 10" o:spid="_x0000_s1029" style="position:absolute;left:7096;top:32099;width:1397;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" filled="f" stroked="f"/>
                <v:rect id="Rectangle 11" o:spid="_x0000_s1030" style="position:absolute;left:9890;top:32099;width:1349;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" filled="f" stroked="f"/>
              </v:group>
            </w:pict>
          </mc:Fallback>
        </mc:AlternateContent>
      </w:r>
    </w:p>
    <w:p w14:paraId="41514A9A" w14:textId="5C1F92B8" w:rsidR="00421F0D" w:rsidRDefault="00E524F6" w:rsidP="00460E6D">
      <w:r>
        <w:rPr>
          <w:noProof/>
        </w:rPr>
        <mc:AlternateContent>
          <mc:Choice Requires="wps">
            <w:drawing>
              <wp:anchor distT="0" distB="0" distL="114300" distR="114300" simplePos="0" relativeHeight="251658246" behindDoc="0" locked="0" layoutInCell="1" allowOverlap="1" wp14:anchorId="394839DE" wp14:editId="403CBEA7">
                <wp:simplePos x="0" y="0"/>
                <wp:positionH relativeFrom="column">
                  <wp:posOffset>-38100</wp:posOffset>
                </wp:positionH>
                <wp:positionV relativeFrom="paragraph">
                  <wp:posOffset>156845</wp:posOffset>
                </wp:positionV>
                <wp:extent cx="4552950" cy="209867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552950" cy="2098675"/>
                        </a:xfrm>
                        <a:prstGeom prst="rect">
                          <a:avLst/>
                        </a:prstGeom>
                        <a:noFill/>
                        <a:ln w="6350">
                          <a:noFill/>
                        </a:ln>
                      </wps:spPr>
                      <wps:txbx>
                        <w:txbxContent>
                          <w:p w14:paraId="1D44FA2C" w14:textId="31BBBAC7" w:rsidR="00845CA5" w:rsidRPr="00E524F6" w:rsidRDefault="00D21F2E" w:rsidP="00845CA5">
                            <w:pPr>
                              <w:rPr>
                                <w:rFonts w:ascii="Century Gothic" w:hAnsi="Century Gothic"/>
                                <w:b/>
                                <w:bCs/>
                                <w:color w:val="FFFFFF" w:themeColor="background1"/>
                                <w:sz w:val="48"/>
                                <w:szCs w:val="48"/>
                                <w14:shadow w14:blurRad="50800" w14:dist="38100" w14:dir="2700000" w14:sx="100000" w14:sy="100000" w14:kx="0" w14:ky="0" w14:algn="tl">
                                  <w14:srgbClr w14:val="000000">
                                    <w14:alpha w14:val="60000"/>
                                  </w14:srgbClr>
                                </w14:shadow>
                              </w:rPr>
                            </w:pPr>
                            <w:r w:rsidRPr="00E524F6">
                              <w:rPr>
                                <w:rFonts w:ascii="Century Gothic" w:hAnsi="Century Gothic"/>
                                <w:b/>
                                <w:bCs/>
                                <w:color w:val="FFFFFF" w:themeColor="background1"/>
                                <w:sz w:val="48"/>
                                <w:szCs w:val="48"/>
                                <w14:shadow w14:blurRad="50800" w14:dist="38100" w14:dir="2700000" w14:sx="100000" w14:sy="100000" w14:kx="0" w14:ky="0" w14:algn="tl">
                                  <w14:srgbClr w14:val="000000">
                                    <w14:alpha w14:val="60000"/>
                                  </w14:srgbClr>
                                </w14:shadow>
                              </w:rPr>
                              <w:t xml:space="preserve">GUIDE </w:t>
                            </w:r>
                            <w:r w:rsidR="00845CA5" w:rsidRPr="00E524F6">
                              <w:rPr>
                                <w:rFonts w:ascii="Century Gothic" w:hAnsi="Century Gothic"/>
                                <w:b/>
                                <w:bCs/>
                                <w:color w:val="FFFFFF" w:themeColor="background1"/>
                                <w:sz w:val="48"/>
                                <w:szCs w:val="48"/>
                                <w14:shadow w14:blurRad="50800" w14:dist="38100" w14:dir="2700000" w14:sx="100000" w14:sy="100000" w14:kx="0" w14:ky="0" w14:algn="tl">
                                  <w14:srgbClr w14:val="000000">
                                    <w14:alpha w14:val="60000"/>
                                  </w14:srgbClr>
                                </w14:shadow>
                              </w:rPr>
                              <w:t xml:space="preserve">FOR MUNICIPALITIES </w:t>
                            </w:r>
                            <w:r w:rsidR="00845CA5">
                              <w:rPr>
                                <w:rFonts w:ascii="Century Gothic" w:hAnsi="Century Gothic"/>
                                <w:b/>
                                <w:bCs/>
                                <w:color w:val="FFFFFF" w:themeColor="background1"/>
                                <w:sz w:val="48"/>
                                <w:szCs w:val="48"/>
                                <w14:shadow w14:blurRad="50800" w14:dist="38100" w14:dir="2700000" w14:sx="100000" w14:sy="100000" w14:kx="0" w14:ky="0" w14:algn="tl">
                                  <w14:srgbClr w14:val="000000">
                                    <w14:alpha w14:val="60000"/>
                                  </w14:srgbClr>
                                </w14:shadow>
                              </w:rPr>
                              <w:t xml:space="preserve">ON HOW TO </w:t>
                            </w:r>
                            <w:r w:rsidR="00845CA5" w:rsidRPr="00E524F6">
                              <w:rPr>
                                <w:rFonts w:ascii="Century Gothic" w:hAnsi="Century Gothic"/>
                                <w:b/>
                                <w:bCs/>
                                <w:color w:val="FFFFFF" w:themeColor="background1"/>
                                <w:sz w:val="48"/>
                                <w:szCs w:val="48"/>
                                <w14:shadow w14:blurRad="50800" w14:dist="38100" w14:dir="2700000" w14:sx="100000" w14:sy="100000" w14:kx="0" w14:ky="0" w14:algn="tl">
                                  <w14:srgbClr w14:val="000000">
                                    <w14:alpha w14:val="60000"/>
                                  </w14:srgbClr>
                                </w14:shadow>
                              </w:rPr>
                              <w:t>ESTABLISH AND RUN THE THIRD-PARTY WHEELING PROCESS</w:t>
                            </w:r>
                          </w:p>
                          <w:p w14:paraId="662A7D6D" w14:textId="4225150B" w:rsidR="00D21F2E" w:rsidRPr="00E524F6" w:rsidRDefault="00D21F2E" w:rsidP="00D21F2E">
                            <w:pPr>
                              <w:rPr>
                                <w:rFonts w:ascii="Century Gothic" w:hAnsi="Century Gothic"/>
                                <w:b/>
                                <w:bCs/>
                                <w:color w:val="FFFFFF" w:themeColor="background1"/>
                                <w:sz w:val="48"/>
                                <w:szCs w:val="48"/>
                                <w14:shadow w14:blurRad="50800" w14:dist="38100" w14:dir="2700000" w14:sx="100000" w14:sy="100000" w14:kx="0" w14:ky="0" w14:algn="tl">
                                  <w14:srgbClr w14:val="000000">
                                    <w14:alpha w14:val="60000"/>
                                  </w14:srgbClr>
                                </w14:shadow>
                              </w:rPr>
                            </w:pPr>
                            <w:r w:rsidRPr="00E524F6">
                              <w:rPr>
                                <w:rFonts w:ascii="Century Gothic" w:hAnsi="Century Gothic"/>
                                <w:b/>
                                <w:bCs/>
                                <w:color w:val="FFFFFF" w:themeColor="background1"/>
                                <w:sz w:val="48"/>
                                <w:szCs w:val="48"/>
                                <w14:shadow w14:blurRad="50800" w14:dist="38100" w14:dir="2700000" w14:sx="100000" w14:sy="100000" w14:kx="0" w14:ky="0" w14:algn="tl">
                                  <w14:srgbClr w14:val="000000">
                                    <w14:alpha w14:val="60000"/>
                                  </w14:srgbClr>
                                </w14:shadow>
                              </w:rPr>
                              <w:t xml:space="preserve">TO </w:t>
                            </w:r>
                          </w:p>
                          <w:p w14:paraId="6C66D42F" w14:textId="77777777" w:rsidR="00E524F6" w:rsidRDefault="00E524F6" w:rsidP="00D21F2E">
                            <w:pPr>
                              <w:rPr>
                                <w:rFonts w:ascii="Century Gothic" w:hAnsi="Century Gothic"/>
                                <w:b/>
                                <w:bCs/>
                                <w:color w:val="FFFFFF" w:themeColor="background1"/>
                                <w:sz w:val="48"/>
                                <w:szCs w:val="48"/>
                              </w:rPr>
                            </w:pPr>
                          </w:p>
                          <w:p w14:paraId="6443B5AB" w14:textId="77777777" w:rsidR="00D21F2E" w:rsidRPr="00E524F6" w:rsidRDefault="00D21F2E" w:rsidP="00D21F2E">
                            <w:pPr>
                              <w:rPr>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4839DE" id="_x0000_t202" coordsize="21600,21600" o:spt="202" path="m,l,21600r21600,l21600,xe">
                <v:stroke joinstyle="miter"/>
                <v:path gradientshapeok="t" o:connecttype="rect"/>
              </v:shapetype>
              <v:shape id="Text Box 12" o:spid="_x0000_s1026" type="#_x0000_t202" style="position:absolute;margin-left:-3pt;margin-top:12.35pt;width:358.5pt;height:165.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" filled="f" stroked="f" strokeweight=".5pt">
                <v:textbox>
                  <w:txbxContent>
                    <w:p w14:paraId="1D44FA2C" w14:textId="31BBBAC7" w:rsidR="00845CA5" w:rsidRPr="00E524F6" w:rsidRDefault="00D21F2E" w:rsidP="00845CA5">
                      <w:pPr>
                        <w:rPr>
                          <w:rFonts w:ascii="Century Gothic" w:hAnsi="Century Gothic"/>
                          <w:b/>
                          <w:bCs/>
                          <w:color w:val="FFFFFF" w:themeColor="background1"/>
                          <w:sz w:val="48"/>
                          <w:szCs w:val="48"/>
                          <w14:shadow w14:blurRad="50800" w14:dist="38100" w14:dir="2700000" w14:sx="100000" w14:sy="100000" w14:kx="0" w14:ky="0" w14:algn="tl">
                            <w14:srgbClr w14:val="000000">
                              <w14:alpha w14:val="60000"/>
                            </w14:srgbClr>
                          </w14:shadow>
                        </w:rPr>
                      </w:pPr>
                      <w:r w:rsidRPr="00E524F6">
                        <w:rPr>
                          <w:rFonts w:ascii="Century Gothic" w:hAnsi="Century Gothic"/>
                          <w:b/>
                          <w:bCs/>
                          <w:color w:val="FFFFFF" w:themeColor="background1"/>
                          <w:sz w:val="48"/>
                          <w:szCs w:val="48"/>
                          <w14:shadow w14:blurRad="50800" w14:dist="38100" w14:dir="2700000" w14:sx="100000" w14:sy="100000" w14:kx="0" w14:ky="0" w14:algn="tl">
                            <w14:srgbClr w14:val="000000">
                              <w14:alpha w14:val="60000"/>
                            </w14:srgbClr>
                          </w14:shadow>
                        </w:rPr>
                        <w:t xml:space="preserve">GUIDE </w:t>
                      </w:r>
                      <w:r w:rsidR="00845CA5" w:rsidRPr="00E524F6">
                        <w:rPr>
                          <w:rFonts w:ascii="Century Gothic" w:hAnsi="Century Gothic"/>
                          <w:b/>
                          <w:bCs/>
                          <w:color w:val="FFFFFF" w:themeColor="background1"/>
                          <w:sz w:val="48"/>
                          <w:szCs w:val="48"/>
                          <w14:shadow w14:blurRad="50800" w14:dist="38100" w14:dir="2700000" w14:sx="100000" w14:sy="100000" w14:kx="0" w14:ky="0" w14:algn="tl">
                            <w14:srgbClr w14:val="000000">
                              <w14:alpha w14:val="60000"/>
                            </w14:srgbClr>
                          </w14:shadow>
                        </w:rPr>
                        <w:t xml:space="preserve">FOR MUNICIPALITIES </w:t>
                      </w:r>
                      <w:r w:rsidR="00845CA5">
                        <w:rPr>
                          <w:rFonts w:ascii="Century Gothic" w:hAnsi="Century Gothic"/>
                          <w:b/>
                          <w:bCs/>
                          <w:color w:val="FFFFFF" w:themeColor="background1"/>
                          <w:sz w:val="48"/>
                          <w:szCs w:val="48"/>
                          <w14:shadow w14:blurRad="50800" w14:dist="38100" w14:dir="2700000" w14:sx="100000" w14:sy="100000" w14:kx="0" w14:ky="0" w14:algn="tl">
                            <w14:srgbClr w14:val="000000">
                              <w14:alpha w14:val="60000"/>
                            </w14:srgbClr>
                          </w14:shadow>
                        </w:rPr>
                        <w:t xml:space="preserve">ON HOW TO </w:t>
                      </w:r>
                      <w:r w:rsidR="00845CA5" w:rsidRPr="00E524F6">
                        <w:rPr>
                          <w:rFonts w:ascii="Century Gothic" w:hAnsi="Century Gothic"/>
                          <w:b/>
                          <w:bCs/>
                          <w:color w:val="FFFFFF" w:themeColor="background1"/>
                          <w:sz w:val="48"/>
                          <w:szCs w:val="48"/>
                          <w14:shadow w14:blurRad="50800" w14:dist="38100" w14:dir="2700000" w14:sx="100000" w14:sy="100000" w14:kx="0" w14:ky="0" w14:algn="tl">
                            <w14:srgbClr w14:val="000000">
                              <w14:alpha w14:val="60000"/>
                            </w14:srgbClr>
                          </w14:shadow>
                        </w:rPr>
                        <w:t>ESTABLISH AND RUN THE THIRD-PARTY WHEELING PROCESS</w:t>
                      </w:r>
                    </w:p>
                    <w:p w14:paraId="662A7D6D" w14:textId="4225150B" w:rsidR="00D21F2E" w:rsidRPr="00E524F6" w:rsidRDefault="00D21F2E" w:rsidP="00D21F2E">
                      <w:pPr>
                        <w:rPr>
                          <w:rFonts w:ascii="Century Gothic" w:hAnsi="Century Gothic"/>
                          <w:b/>
                          <w:bCs/>
                          <w:color w:val="FFFFFF" w:themeColor="background1"/>
                          <w:sz w:val="48"/>
                          <w:szCs w:val="48"/>
                          <w14:shadow w14:blurRad="50800" w14:dist="38100" w14:dir="2700000" w14:sx="100000" w14:sy="100000" w14:kx="0" w14:ky="0" w14:algn="tl">
                            <w14:srgbClr w14:val="000000">
                              <w14:alpha w14:val="60000"/>
                            </w14:srgbClr>
                          </w14:shadow>
                        </w:rPr>
                      </w:pPr>
                      <w:r w:rsidRPr="00E524F6">
                        <w:rPr>
                          <w:rFonts w:ascii="Century Gothic" w:hAnsi="Century Gothic"/>
                          <w:b/>
                          <w:bCs/>
                          <w:color w:val="FFFFFF" w:themeColor="background1"/>
                          <w:sz w:val="48"/>
                          <w:szCs w:val="48"/>
                          <w14:shadow w14:blurRad="50800" w14:dist="38100" w14:dir="2700000" w14:sx="100000" w14:sy="100000" w14:kx="0" w14:ky="0" w14:algn="tl">
                            <w14:srgbClr w14:val="000000">
                              <w14:alpha w14:val="60000"/>
                            </w14:srgbClr>
                          </w14:shadow>
                        </w:rPr>
                        <w:t xml:space="preserve">TO </w:t>
                      </w:r>
                    </w:p>
                    <w:p w14:paraId="6C66D42F" w14:textId="77777777" w:rsidR="00E524F6" w:rsidRDefault="00E524F6" w:rsidP="00D21F2E">
                      <w:pPr>
                        <w:rPr>
                          <w:rFonts w:ascii="Century Gothic" w:hAnsi="Century Gothic"/>
                          <w:b/>
                          <w:bCs/>
                          <w:color w:val="FFFFFF" w:themeColor="background1"/>
                          <w:sz w:val="48"/>
                          <w:szCs w:val="48"/>
                        </w:rPr>
                      </w:pPr>
                    </w:p>
                    <w:p w14:paraId="6443B5AB" w14:textId="77777777" w:rsidR="00D21F2E" w:rsidRPr="00E524F6" w:rsidRDefault="00D21F2E" w:rsidP="00D21F2E">
                      <w:pPr>
                        <w:rPr>
                          <w:color w:val="FFFFFF" w:themeColor="background1"/>
                          <w:sz w:val="28"/>
                          <w:szCs w:val="28"/>
                        </w:rPr>
                      </w:pPr>
                    </w:p>
                  </w:txbxContent>
                </v:textbox>
              </v:shape>
            </w:pict>
          </mc:Fallback>
        </mc:AlternateContent>
      </w:r>
    </w:p>
    <w:p w14:paraId="6B135E82" w14:textId="30D6E37D" w:rsidR="00326E9E" w:rsidRDefault="00326E9E" w:rsidP="00460E6D"/>
    <w:p w14:paraId="44C498F4" w14:textId="015CB1D9" w:rsidR="00326E9E" w:rsidRDefault="00326E9E" w:rsidP="00460E6D"/>
    <w:p w14:paraId="5AAA4E24" w14:textId="533BC8A6" w:rsidR="00326E9E" w:rsidRDefault="00326E9E" w:rsidP="00460E6D"/>
    <w:p w14:paraId="45C190FB" w14:textId="77777777" w:rsidR="00326E9E" w:rsidRDefault="00326E9E" w:rsidP="00460E6D"/>
    <w:p w14:paraId="147CB831" w14:textId="5B59CB35" w:rsidR="00326E9E" w:rsidRDefault="00326E9E" w:rsidP="00460E6D"/>
    <w:p w14:paraId="60DF1D42" w14:textId="155FE54A" w:rsidR="00326E9E" w:rsidRDefault="00326E9E" w:rsidP="00460E6D"/>
    <w:p w14:paraId="418E7DFF" w14:textId="64C55193" w:rsidR="00326E9E" w:rsidRDefault="00326E9E" w:rsidP="00460E6D"/>
    <w:p w14:paraId="7FEFE695" w14:textId="562937E9" w:rsidR="00326E9E" w:rsidRDefault="00326E9E" w:rsidP="00460E6D"/>
    <w:p w14:paraId="5F994850" w14:textId="4914EC6E" w:rsidR="00326E9E" w:rsidRDefault="00326E9E" w:rsidP="00460E6D"/>
    <w:p w14:paraId="14A5D3A7" w14:textId="398B92C7" w:rsidR="00326E9E" w:rsidRDefault="00326E9E" w:rsidP="00460E6D"/>
    <w:p w14:paraId="23876128" w14:textId="5447797B" w:rsidR="00326E9E" w:rsidRDefault="00326E9E" w:rsidP="00460E6D"/>
    <w:p w14:paraId="6FA48074" w14:textId="3290AD45" w:rsidR="00326E9E" w:rsidRDefault="00326E9E" w:rsidP="00460E6D"/>
    <w:p w14:paraId="11DC8134" w14:textId="4D4A3215" w:rsidR="00326E9E" w:rsidRDefault="007A4AB0" w:rsidP="00460E6D">
      <w:r>
        <w:rPr>
          <w:noProof/>
        </w:rPr>
        <mc:AlternateContent>
          <mc:Choice Requires="wps">
            <w:drawing>
              <wp:anchor distT="0" distB="0" distL="114300" distR="114300" simplePos="0" relativeHeight="251658244" behindDoc="0" locked="0" layoutInCell="1" allowOverlap="1" wp14:anchorId="19F8F75D" wp14:editId="1C7C1118">
                <wp:simplePos x="0" y="0"/>
                <wp:positionH relativeFrom="page">
                  <wp:align>right</wp:align>
                </wp:positionH>
                <wp:positionV relativeFrom="paragraph">
                  <wp:posOffset>36195</wp:posOffset>
                </wp:positionV>
                <wp:extent cx="5130165" cy="7562850"/>
                <wp:effectExtent l="2858" t="0" r="0" b="0"/>
                <wp:wrapNone/>
                <wp:docPr id="92" name="Rectangle 92">
                  <a:extLst xmlns:a="http://schemas.openxmlformats.org/drawingml/2006/main">
                    <a:ext uri="{FF2B5EF4-FFF2-40B4-BE49-F238E27FC236}">
                      <a16:creationId xmlns:a16="http://schemas.microsoft.com/office/drawing/2014/main" id="{70401037-5586-9949-A58A-0BA41F6222CD}"/>
                    </a:ext>
                  </a:extLst>
                </wp:docPr>
                <wp:cNvGraphicFramePr/>
                <a:graphic xmlns:a="http://schemas.openxmlformats.org/drawingml/2006/main">
                  <a:graphicData uri="http://schemas.microsoft.com/office/word/2010/wordprocessingShape">
                    <wps:wsp>
                      <wps:cNvSpPr/>
                      <wps:spPr>
                        <a:xfrm rot="16200000">
                          <a:off x="0" y="0"/>
                          <a:ext cx="5130165" cy="7562850"/>
                        </a:xfrm>
                        <a:prstGeom prst="rect">
                          <a:avLst/>
                        </a:prstGeom>
                        <a:gradFill flip="none" rotWithShape="1">
                          <a:gsLst>
                            <a:gs pos="43000">
                              <a:srgbClr val="000000">
                                <a:alpha val="0"/>
                              </a:srgbClr>
                            </a:gs>
                            <a:gs pos="58000">
                              <a:srgbClr val="000000">
                                <a:alpha val="43000"/>
                              </a:srgbClr>
                            </a:gs>
                            <a:gs pos="81000">
                              <a:srgbClr val="000000">
                                <a:alpha val="52000"/>
                              </a:srgb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ect w14:anchorId="53C6E4A0" id="Rectangle 92" o:spid="_x0000_s1026" style="position:absolute;margin-left:352.75pt;margin-top:2.85pt;width:403.95pt;height:595.5pt;rotation:-90;z-index:251658244;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" fillcolor="black" stroked="f" strokeweight="2pt">
                <v:fill opacity="34078f" color2="black" o:opacity2="0" rotate="t" angle="270" focus="42%" type="gradient"/>
                <w10:wrap anchorx="page"/>
              </v:rect>
            </w:pict>
          </mc:Fallback>
        </mc:AlternateContent>
      </w:r>
    </w:p>
    <w:p w14:paraId="101CEE9A" w14:textId="7E9CF7F3" w:rsidR="00326E9E" w:rsidRDefault="00326E9E" w:rsidP="00460E6D"/>
    <w:p w14:paraId="43A573DC" w14:textId="4D070C5E" w:rsidR="00D21F2E" w:rsidRDefault="00D21F2E" w:rsidP="00460E6D"/>
    <w:p w14:paraId="5E68E37F" w14:textId="75124A2C" w:rsidR="00326E9E" w:rsidRDefault="00326E9E" w:rsidP="00460E6D"/>
    <w:p w14:paraId="1E99DAEF" w14:textId="3947FC27" w:rsidR="00326E9E" w:rsidRDefault="00326E9E" w:rsidP="00460E6D"/>
    <w:p w14:paraId="7430A112" w14:textId="7C5CC595" w:rsidR="00326E9E" w:rsidRDefault="00326E9E" w:rsidP="00460E6D"/>
    <w:p w14:paraId="01E779B5" w14:textId="0276802A" w:rsidR="00326E9E" w:rsidRDefault="00326E9E" w:rsidP="00460E6D"/>
    <w:p w14:paraId="0E175869" w14:textId="12124D50" w:rsidR="00326E9E" w:rsidRDefault="00326E9E" w:rsidP="00460E6D"/>
    <w:p w14:paraId="21A68BC8" w14:textId="4D9AF28C" w:rsidR="00326E9E" w:rsidRDefault="00326E9E" w:rsidP="00460E6D"/>
    <w:p w14:paraId="652EC101" w14:textId="100D001E" w:rsidR="00326E9E" w:rsidRDefault="00326E9E" w:rsidP="00460E6D"/>
    <w:p w14:paraId="53E30FD6" w14:textId="45DBC56C" w:rsidR="00326E9E" w:rsidRDefault="00326E9E" w:rsidP="00460E6D"/>
    <w:p w14:paraId="555A0FAE" w14:textId="38C5BD46" w:rsidR="00326E9E" w:rsidRDefault="00326E9E" w:rsidP="00460E6D"/>
    <w:p w14:paraId="7260166D" w14:textId="6DD400F2" w:rsidR="00326E9E" w:rsidRDefault="00326E9E" w:rsidP="00460E6D"/>
    <w:p w14:paraId="739FD991" w14:textId="5E281DC7" w:rsidR="00326E9E" w:rsidRDefault="00326E9E" w:rsidP="00460E6D"/>
    <w:p w14:paraId="4F52912D" w14:textId="6AB957F3" w:rsidR="00326E9E" w:rsidRDefault="00326E9E" w:rsidP="00460E6D"/>
    <w:p w14:paraId="47B11C71" w14:textId="22478959" w:rsidR="00326E9E" w:rsidRDefault="00326E9E" w:rsidP="00460E6D"/>
    <w:p w14:paraId="52516AA5" w14:textId="6BEBEF79" w:rsidR="00326E9E" w:rsidRDefault="00326E9E" w:rsidP="00460E6D"/>
    <w:p w14:paraId="5DDFF631" w14:textId="6801396B" w:rsidR="00326E9E" w:rsidRDefault="00326E9E" w:rsidP="00460E6D"/>
    <w:p w14:paraId="0848977A" w14:textId="673B895B" w:rsidR="00326E9E" w:rsidRDefault="002E65BA" w:rsidP="00460E6D">
      <w:r>
        <w:rPr>
          <w:noProof/>
        </w:rPr>
        <w:drawing>
          <wp:anchor distT="0" distB="0" distL="114300" distR="114300" simplePos="0" relativeHeight="251660309" behindDoc="0" locked="0" layoutInCell="1" allowOverlap="1" wp14:anchorId="3E9FE234" wp14:editId="14BE97FE">
            <wp:simplePos x="0" y="0"/>
            <wp:positionH relativeFrom="margin">
              <wp:posOffset>5528500</wp:posOffset>
            </wp:positionH>
            <wp:positionV relativeFrom="paragraph">
              <wp:posOffset>1232535</wp:posOffset>
            </wp:positionV>
            <wp:extent cx="918210" cy="42608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18210" cy="4260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1" behindDoc="0" locked="0" layoutInCell="1" allowOverlap="1" wp14:anchorId="5D5E2CCA" wp14:editId="7646D2DC">
            <wp:simplePos x="0" y="0"/>
            <wp:positionH relativeFrom="column">
              <wp:posOffset>4840956</wp:posOffset>
            </wp:positionH>
            <wp:positionV relativeFrom="paragraph">
              <wp:posOffset>1145056</wp:posOffset>
            </wp:positionV>
            <wp:extent cx="654685" cy="65468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4685" cy="6546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noProof/>
          <w:color w:val="000000"/>
        </w:rPr>
        <w:drawing>
          <wp:anchor distT="0" distB="0" distL="114300" distR="114300" simplePos="0" relativeHeight="251658260" behindDoc="0" locked="0" layoutInCell="1" allowOverlap="1" wp14:anchorId="5DF619AF" wp14:editId="78384E5F">
            <wp:simplePos x="0" y="0"/>
            <wp:positionH relativeFrom="rightMargin">
              <wp:posOffset>-2831304</wp:posOffset>
            </wp:positionH>
            <wp:positionV relativeFrom="paragraph">
              <wp:posOffset>1127125</wp:posOffset>
            </wp:positionV>
            <wp:extent cx="497840" cy="583565"/>
            <wp:effectExtent l="0" t="0" r="0" b="698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7840" cy="58356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8" behindDoc="0" locked="0" layoutInCell="1" allowOverlap="1" wp14:anchorId="30E00ADE" wp14:editId="676F327D">
            <wp:simplePos x="0" y="0"/>
            <wp:positionH relativeFrom="column">
              <wp:posOffset>-869618</wp:posOffset>
            </wp:positionH>
            <wp:positionV relativeFrom="paragraph">
              <wp:posOffset>1183346</wp:posOffset>
            </wp:positionV>
            <wp:extent cx="1695450" cy="453990"/>
            <wp:effectExtent l="0" t="0" r="0" b="3810"/>
            <wp:wrapNone/>
            <wp:docPr id="13" name="Picture 13">
              <a:extLst xmlns:a="http://schemas.openxmlformats.org/drawingml/2006/main">
                <a:ext uri="{FF2B5EF4-FFF2-40B4-BE49-F238E27FC236}">
                  <a16:creationId xmlns:a16="http://schemas.microsoft.com/office/drawing/2014/main" id="{769BA4BA-A7A9-4BDB-9614-9F00156719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769BA4BA-A7A9-4BDB-9614-9F00156719CE}"/>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95450" cy="4539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9" behindDoc="0" locked="0" layoutInCell="1" allowOverlap="1" wp14:anchorId="0C543E7D" wp14:editId="3B6AD405">
            <wp:simplePos x="0" y="0"/>
            <wp:positionH relativeFrom="margin">
              <wp:posOffset>1042196</wp:posOffset>
            </wp:positionH>
            <wp:positionV relativeFrom="paragraph">
              <wp:posOffset>1125874</wp:posOffset>
            </wp:positionV>
            <wp:extent cx="1662430" cy="609600"/>
            <wp:effectExtent l="0" t="0" r="0" b="0"/>
            <wp:wrapNone/>
            <wp:docPr id="14" name="Picture 14" descr="Logo, company name&#10;&#10;Description automatically generated">
              <a:extLst xmlns:a="http://schemas.openxmlformats.org/drawingml/2006/main">
                <a:ext uri="{FF2B5EF4-FFF2-40B4-BE49-F238E27FC236}">
                  <a16:creationId xmlns:a16="http://schemas.microsoft.com/office/drawing/2014/main" id="{36AFD9B1-A689-4CFB-B758-AF5DDF3D84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Logo, company name&#10;&#10;Description automatically generated">
                      <a:extLst>
                        <a:ext uri="{FF2B5EF4-FFF2-40B4-BE49-F238E27FC236}">
                          <a16:creationId xmlns:a16="http://schemas.microsoft.com/office/drawing/2014/main" id="{36AFD9B1-A689-4CFB-B758-AF5DDF3D84B2}"/>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62430" cy="609600"/>
                    </a:xfrm>
                    <a:prstGeom prst="rect">
                      <a:avLst/>
                    </a:prstGeom>
                  </pic:spPr>
                </pic:pic>
              </a:graphicData>
            </a:graphic>
            <wp14:sizeRelH relativeFrom="margin">
              <wp14:pctWidth>0</wp14:pctWidth>
            </wp14:sizeRelH>
            <wp14:sizeRelV relativeFrom="margin">
              <wp14:pctHeight>0</wp14:pctHeight>
            </wp14:sizeRelV>
          </wp:anchor>
        </w:drawing>
      </w:r>
      <w:r w:rsidR="00790DDD">
        <w:rPr>
          <w:noProof/>
        </w:rPr>
        <mc:AlternateContent>
          <mc:Choice Requires="wps">
            <w:drawing>
              <wp:anchor distT="0" distB="0" distL="114300" distR="114300" simplePos="0" relativeHeight="251658245" behindDoc="0" locked="0" layoutInCell="1" allowOverlap="1" wp14:anchorId="4D5016AB" wp14:editId="6BB66CEB">
                <wp:simplePos x="0" y="0"/>
                <wp:positionH relativeFrom="column">
                  <wp:posOffset>-905841</wp:posOffset>
                </wp:positionH>
                <wp:positionV relativeFrom="paragraph">
                  <wp:posOffset>933450</wp:posOffset>
                </wp:positionV>
                <wp:extent cx="7540473" cy="1052210"/>
                <wp:effectExtent l="57150" t="19050" r="80010" b="90805"/>
                <wp:wrapNone/>
                <wp:docPr id="18" name="Rectangle 18"/>
                <wp:cNvGraphicFramePr/>
                <a:graphic xmlns:a="http://schemas.openxmlformats.org/drawingml/2006/main">
                  <a:graphicData uri="http://schemas.microsoft.com/office/word/2010/wordprocessingShape">
                    <wps:wsp>
                      <wps:cNvSpPr/>
                      <wps:spPr>
                        <a:xfrm>
                          <a:off x="0" y="0"/>
                          <a:ext cx="7540473" cy="1052210"/>
                        </a:xfrm>
                        <a:prstGeom prst="rect">
                          <a:avLst/>
                        </a:prstGeom>
                        <a:solidFill>
                          <a:schemeClr val="bg1"/>
                        </a:solidFill>
                        <a:ln>
                          <a:solidFill>
                            <a:schemeClr val="bg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8CD3EA" id="Rectangle 18" o:spid="_x0000_s1026" style="position:absolute;margin-left:-71.35pt;margin-top:73.5pt;width:593.75pt;height:82.85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" fillcolor="white [3212]" strokecolor="white [3212]">
                <v:shadow on="t" color="black" opacity="22937f" origin=",.5" offset="0,.63889mm"/>
              </v:rect>
            </w:pict>
          </mc:Fallback>
        </mc:AlternateContent>
      </w:r>
    </w:p>
    <w:p w14:paraId="30E67CDD" w14:textId="77777777" w:rsidR="0098504A" w:rsidRDefault="0098504A" w:rsidP="0098504A">
      <w:pPr>
        <w:pStyle w:val="Heading1"/>
        <w:numPr>
          <w:ilvl w:val="0"/>
          <w:numId w:val="0"/>
        </w:numPr>
      </w:pPr>
    </w:p>
    <w:p w14:paraId="5DB6ACB6" w14:textId="77777777" w:rsidR="0098504A" w:rsidRPr="0098504A" w:rsidRDefault="0098504A" w:rsidP="0098504A"/>
    <w:p w14:paraId="20E03056" w14:textId="7211572D" w:rsidR="0098504A" w:rsidRDefault="0080044A" w:rsidP="0098504A">
      <w:r>
        <w:rPr>
          <w:rFonts w:ascii="Century Gothic" w:hAnsi="Century Gothic"/>
          <w:b/>
          <w:bCs/>
          <w:noProof/>
          <w:sz w:val="36"/>
          <w:szCs w:val="36"/>
        </w:rPr>
        <w:drawing>
          <wp:anchor distT="0" distB="0" distL="114300" distR="114300" simplePos="0" relativeHeight="251658250" behindDoc="0" locked="0" layoutInCell="1" allowOverlap="1" wp14:anchorId="466B7C64" wp14:editId="750A0295">
            <wp:simplePos x="0" y="0"/>
            <wp:positionH relativeFrom="margin">
              <wp:posOffset>3524250</wp:posOffset>
            </wp:positionH>
            <wp:positionV relativeFrom="paragraph">
              <wp:posOffset>331470</wp:posOffset>
            </wp:positionV>
            <wp:extent cx="1076325" cy="395328"/>
            <wp:effectExtent l="0" t="0" r="0" b="508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76325" cy="395328"/>
                    </a:xfrm>
                    <a:prstGeom prst="rect">
                      <a:avLst/>
                    </a:prstGeom>
                    <a:noFill/>
                  </pic:spPr>
                </pic:pic>
              </a:graphicData>
            </a:graphic>
            <wp14:sizeRelH relativeFrom="page">
              <wp14:pctWidth>0</wp14:pctWidth>
            </wp14:sizeRelH>
            <wp14:sizeRelV relativeFrom="page">
              <wp14:pctHeight>0</wp14:pctHeight>
            </wp14:sizeRelV>
          </wp:anchor>
        </w:drawing>
      </w:r>
    </w:p>
    <w:p w14:paraId="3C361F9C" w14:textId="13236E58" w:rsidR="003804DA" w:rsidRPr="002432D7" w:rsidRDefault="003804DA" w:rsidP="003804DA">
      <w:pPr>
        <w:pStyle w:val="Heading1"/>
        <w:rPr>
          <w:sz w:val="28"/>
          <w:szCs w:val="36"/>
        </w:rPr>
      </w:pPr>
      <w:bookmarkStart w:id="2" w:name="_Toc145484185"/>
      <w:r w:rsidRPr="002432D7">
        <w:rPr>
          <w:sz w:val="28"/>
          <w:szCs w:val="36"/>
        </w:rPr>
        <w:lastRenderedPageBreak/>
        <w:t>Executive Summary</w:t>
      </w:r>
      <w:bookmarkEnd w:id="2"/>
    </w:p>
    <w:p w14:paraId="0B8104A0" w14:textId="77777777" w:rsidR="003804DA" w:rsidRDefault="003804DA" w:rsidP="00355163">
      <w:pPr>
        <w:spacing w:after="0" w:line="240" w:lineRule="auto"/>
        <w:rPr>
          <w:rFonts w:ascii="Century Gothic" w:eastAsia="Times New Roman" w:hAnsi="Century Gothic" w:cs="Calibri"/>
          <w:sz w:val="18"/>
          <w:szCs w:val="18"/>
        </w:rPr>
      </w:pPr>
    </w:p>
    <w:p w14:paraId="2A976A7B" w14:textId="5944B73A" w:rsidR="00355163" w:rsidRPr="002C61F2" w:rsidRDefault="00355163" w:rsidP="00355163">
      <w:pPr>
        <w:spacing w:after="0" w:line="240" w:lineRule="auto"/>
        <w:rPr>
          <w:rFonts w:ascii="Century Gothic" w:eastAsia="Times New Roman" w:hAnsi="Century Gothic" w:cs="Calibri"/>
          <w:sz w:val="18"/>
          <w:szCs w:val="18"/>
        </w:rPr>
      </w:pPr>
      <w:r w:rsidRPr="002C61F2">
        <w:rPr>
          <w:rFonts w:ascii="Century Gothic" w:eastAsia="Times New Roman" w:hAnsi="Century Gothic" w:cs="Calibri"/>
          <w:sz w:val="18"/>
          <w:szCs w:val="18"/>
        </w:rPr>
        <w:t>This comprehensive Municipal Wheeling Guidelines document serves as a vital resource for municipalities embarking on third-party energy wheeling within their distribution grids. It systematically addresses legal, regulatory, technical, and operational aspects of energy wheeling. This executive summary provides an overview of the guide's structured content and the significance of each section.</w:t>
      </w:r>
    </w:p>
    <w:p w14:paraId="0DDCBAB7" w14:textId="77777777" w:rsidR="00355163" w:rsidRPr="002C61F2" w:rsidRDefault="00355163" w:rsidP="00355163">
      <w:pPr>
        <w:spacing w:after="0" w:line="240" w:lineRule="auto"/>
        <w:rPr>
          <w:rFonts w:ascii="Century Gothic" w:eastAsia="Times New Roman" w:hAnsi="Century Gothic" w:cs="Calibri"/>
          <w:sz w:val="18"/>
          <w:szCs w:val="18"/>
        </w:rPr>
      </w:pPr>
      <w:r w:rsidRPr="002C61F2">
        <w:rPr>
          <w:rFonts w:ascii="Century Gothic" w:eastAsia="Times New Roman" w:hAnsi="Century Gothic" w:cs="Calibri"/>
          <w:sz w:val="18"/>
          <w:szCs w:val="18"/>
        </w:rPr>
        <w:t> </w:t>
      </w:r>
    </w:p>
    <w:p w14:paraId="67F3C3A3" w14:textId="77777777" w:rsidR="00355163" w:rsidRPr="002C61F2" w:rsidRDefault="00355163" w:rsidP="00355163">
      <w:pPr>
        <w:spacing w:after="0" w:line="240" w:lineRule="auto"/>
        <w:rPr>
          <w:rFonts w:ascii="Century Gothic" w:eastAsia="Times New Roman" w:hAnsi="Century Gothic" w:cs="Calibri"/>
          <w:sz w:val="18"/>
          <w:szCs w:val="18"/>
        </w:rPr>
      </w:pPr>
      <w:r w:rsidRPr="002C61F2">
        <w:rPr>
          <w:rFonts w:ascii="Century Gothic" w:eastAsia="Times New Roman" w:hAnsi="Century Gothic" w:cs="Calibri"/>
          <w:sz w:val="18"/>
          <w:szCs w:val="18"/>
        </w:rPr>
        <w:t>Energy wheeling is the transmission of electrical energy through existing distribution or transmission infrastructure, enabling generators to sell their energy to other parties. With municipalities experiencing a surge in requests for third-party wheeling, the need for clear guidelines and processes is paramount. Municipalities stand to reap numerous benefits from third-party wheeling initiatives, including revenue generation, economic growth, energy security, and environmental sustainability. By promoting private investments, green initiatives, and technological advancements, municipalities can bolster their communities and energy management capabilities.</w:t>
      </w:r>
    </w:p>
    <w:p w14:paraId="0DA53729" w14:textId="77777777" w:rsidR="00355163" w:rsidRPr="002C61F2" w:rsidRDefault="00355163" w:rsidP="00355163">
      <w:pPr>
        <w:spacing w:after="0" w:line="240" w:lineRule="auto"/>
        <w:rPr>
          <w:rFonts w:ascii="Century Gothic" w:eastAsia="Times New Roman" w:hAnsi="Century Gothic" w:cs="Calibri"/>
          <w:sz w:val="18"/>
          <w:szCs w:val="18"/>
        </w:rPr>
      </w:pPr>
      <w:r w:rsidRPr="002C61F2">
        <w:rPr>
          <w:rFonts w:ascii="Century Gothic" w:eastAsia="Times New Roman" w:hAnsi="Century Gothic" w:cs="Calibri"/>
          <w:sz w:val="18"/>
          <w:szCs w:val="18"/>
        </w:rPr>
        <w:t> </w:t>
      </w:r>
    </w:p>
    <w:p w14:paraId="1641C570" w14:textId="77777777" w:rsidR="00355163" w:rsidRPr="002C61F2" w:rsidRDefault="00355163" w:rsidP="00355163">
      <w:pPr>
        <w:spacing w:after="0" w:line="240" w:lineRule="auto"/>
        <w:rPr>
          <w:rFonts w:ascii="Century Gothic" w:eastAsia="Times New Roman" w:hAnsi="Century Gothic" w:cs="Calibri"/>
          <w:sz w:val="18"/>
          <w:szCs w:val="18"/>
        </w:rPr>
      </w:pPr>
      <w:r w:rsidRPr="002C61F2">
        <w:rPr>
          <w:rFonts w:ascii="Century Gothic" w:eastAsia="Times New Roman" w:hAnsi="Century Gothic" w:cs="Calibri"/>
          <w:sz w:val="18"/>
          <w:szCs w:val="18"/>
        </w:rPr>
        <w:t>To establish and operate third-party energy wheeling, municipalities should follow an 11-step process. This begins with conducting internal workshops involving key stakeholders, such as legal, finance, and electricity departments, to gain staff buy-in. Step 2 entails developing wheeling tariffs, service guidelines, and processes, including cost of supply studies, qualification requirements, and legal frameworks. Council approval, public participation (if needed), and submission of wheeling tariffs to the National Energy Regulator of South Africa (NERSA) follow in steps 3 to 5. Step 6 involves tariff approval as part of the budget process, ensuring alignment with the municipality's financial plan. The next steps, 7 and 8, require finalizing the wheeling policy, obtaining approvals, and customizing wheeling agreements. Step 9 focuses on preparing or upgrading the billing system, while step 10 involves testing the project if required. Finally, step 11 entails opening the third-party wheeling market, officially launching the service, ensuring accessibility, and maintaining ongoing monitoring and improvement mechanisms. These steps collectively guide municipalities in establishing and operating successful third-party energy wheeling systems, aligning with national regulations and optimizing benefits for their communities and long-term energy strategies.</w:t>
      </w:r>
    </w:p>
    <w:p w14:paraId="74400D3C" w14:textId="77777777" w:rsidR="00355163" w:rsidRPr="002C61F2" w:rsidRDefault="00355163" w:rsidP="00355163">
      <w:pPr>
        <w:spacing w:after="0" w:line="240" w:lineRule="auto"/>
        <w:rPr>
          <w:rFonts w:ascii="Century Gothic" w:eastAsia="Times New Roman" w:hAnsi="Century Gothic" w:cs="Calibri"/>
          <w:sz w:val="18"/>
          <w:szCs w:val="18"/>
        </w:rPr>
      </w:pPr>
      <w:r w:rsidRPr="002C61F2">
        <w:rPr>
          <w:rFonts w:ascii="Century Gothic" w:eastAsia="Times New Roman" w:hAnsi="Century Gothic" w:cs="Calibri"/>
          <w:sz w:val="18"/>
          <w:szCs w:val="18"/>
        </w:rPr>
        <w:t> </w:t>
      </w:r>
    </w:p>
    <w:p w14:paraId="5848B5CD" w14:textId="053AD964" w:rsidR="00355163" w:rsidRPr="002C61F2" w:rsidRDefault="001A0FF6" w:rsidP="00355163">
      <w:pPr>
        <w:spacing w:after="0" w:line="240" w:lineRule="auto"/>
        <w:rPr>
          <w:rFonts w:ascii="Century Gothic" w:eastAsia="Times New Roman" w:hAnsi="Century Gothic" w:cs="Calibri"/>
          <w:sz w:val="18"/>
          <w:szCs w:val="18"/>
        </w:rPr>
      </w:pPr>
      <w:r w:rsidRPr="002C61F2">
        <w:rPr>
          <w:rFonts w:ascii="Century Gothic" w:eastAsia="Times New Roman" w:hAnsi="Century Gothic" w:cs="Calibri"/>
          <w:sz w:val="18"/>
          <w:szCs w:val="18"/>
        </w:rPr>
        <w:t xml:space="preserve">This document </w:t>
      </w:r>
      <w:r w:rsidRPr="002C61F2">
        <w:rPr>
          <w:rFonts w:ascii="Century Gothic" w:eastAsia="Times New Roman" w:hAnsi="Century Gothic" w:cs="Calibri"/>
          <w:sz w:val="18"/>
          <w:szCs w:val="18"/>
        </w:rPr>
        <w:t xml:space="preserve">then </w:t>
      </w:r>
      <w:r w:rsidRPr="002C61F2">
        <w:rPr>
          <w:rFonts w:ascii="Century Gothic" w:eastAsia="Times New Roman" w:hAnsi="Century Gothic" w:cs="Calibri"/>
          <w:sz w:val="18"/>
          <w:szCs w:val="18"/>
        </w:rPr>
        <w:t>serves as a comprehensive resource to effectively develop the wheeling service guidelines and processes, as outlined in step 2</w:t>
      </w:r>
      <w:r w:rsidR="0088790D" w:rsidRPr="002C61F2">
        <w:rPr>
          <w:rFonts w:ascii="Century Gothic" w:eastAsia="Times New Roman" w:hAnsi="Century Gothic" w:cs="Calibri"/>
          <w:sz w:val="18"/>
          <w:szCs w:val="18"/>
        </w:rPr>
        <w:t>Step 2 in</w:t>
      </w:r>
      <w:r w:rsidRPr="002C61F2">
        <w:rPr>
          <w:rFonts w:ascii="Century Gothic" w:eastAsia="Times New Roman" w:hAnsi="Century Gothic" w:cs="Calibri"/>
          <w:sz w:val="18"/>
          <w:szCs w:val="18"/>
        </w:rPr>
        <w:t xml:space="preserve">. </w:t>
      </w:r>
      <w:r w:rsidR="00355163" w:rsidRPr="002C61F2">
        <w:rPr>
          <w:rFonts w:ascii="Century Gothic" w:eastAsia="Times New Roman" w:hAnsi="Century Gothic" w:cs="Calibri"/>
          <w:sz w:val="18"/>
          <w:szCs w:val="18"/>
        </w:rPr>
        <w:t xml:space="preserve">The guide is thoughtfully structured into </w:t>
      </w:r>
      <w:r w:rsidR="00C81BB3" w:rsidRPr="002C61F2">
        <w:rPr>
          <w:rFonts w:ascii="Century Gothic" w:eastAsia="Times New Roman" w:hAnsi="Century Gothic" w:cs="Calibri"/>
          <w:sz w:val="18"/>
          <w:szCs w:val="18"/>
        </w:rPr>
        <w:t>several</w:t>
      </w:r>
      <w:r w:rsidR="00355163" w:rsidRPr="002C61F2">
        <w:rPr>
          <w:rFonts w:ascii="Century Gothic" w:eastAsia="Times New Roman" w:hAnsi="Century Gothic" w:cs="Calibri"/>
          <w:sz w:val="18"/>
          <w:szCs w:val="18"/>
        </w:rPr>
        <w:t xml:space="preserve"> sections, each meticulously designed to address a specific aspect of third-party energy wheeling. It begins with an overview of the document, providing a clear understanding of its purpose and usage. The subsequent sections offer a wealth of information, from acronyms and definitions that ensure clarity to a detailed exploration of the legal and regulatory framework that underpins wheeling operations. As the guide unfolds, it delves into the roles and responsibilities of key stakeholders, emphasizing the collaborative nature of wheeling services. General guidelines and conditions are outlined to establish a strong foundation for contractual arrangements, a critical component in ensuring the smooth operation of third-party wheeling. Metering and data management, often considered the backbone of wheeling services, are comprehensively discussed, alongside tariff structures, billing procedures, and various scenarios for contracting, metering, and billing. Qualifying criteria and application processes are detailed to ensure transparent access to wheeling services. Throughout the guide, vital topics such as payments, energy balancing, and dispute resolution are meticulously examined, contributing to the robustness of the wheeling framework. Tools, references, and further information are provided to empower municipalities with additional resources. To facilitate technical implementation, annexures offering technical standards and illustrative examples of qualifying criteria are included. This structured approach equips municipalities with the knowledge and guidance necessary to develop a tailored wheeling framework, aligning their operations with national policies and regulations, while harnessing the manifold benefits of third-party energy wheeling for their communities and long-term energy management strategies.</w:t>
      </w:r>
    </w:p>
    <w:p w14:paraId="7AA37D7E" w14:textId="0E664762" w:rsidR="00355163" w:rsidRPr="002C61F2" w:rsidRDefault="00355163" w:rsidP="00355163">
      <w:pPr>
        <w:spacing w:after="0" w:line="240" w:lineRule="auto"/>
        <w:rPr>
          <w:rFonts w:ascii="Century Gothic" w:eastAsia="Times New Roman" w:hAnsi="Century Gothic" w:cs="Calibri"/>
          <w:sz w:val="18"/>
          <w:szCs w:val="18"/>
        </w:rPr>
      </w:pPr>
      <w:r w:rsidRPr="002C61F2">
        <w:rPr>
          <w:rFonts w:ascii="Century Gothic" w:eastAsia="Times New Roman" w:hAnsi="Century Gothic" w:cs="Calibri"/>
          <w:sz w:val="18"/>
          <w:szCs w:val="18"/>
        </w:rPr>
        <w:t> </w:t>
      </w:r>
    </w:p>
    <w:p w14:paraId="4B15A778" w14:textId="4C0331F7" w:rsidR="0098504A" w:rsidRPr="002C61F2" w:rsidRDefault="00355163" w:rsidP="003804DA">
      <w:pPr>
        <w:spacing w:after="0" w:line="240" w:lineRule="auto"/>
        <w:rPr>
          <w:rFonts w:ascii="Century Gothic" w:eastAsia="Times New Roman" w:hAnsi="Century Gothic" w:cs="Calibri"/>
          <w:sz w:val="18"/>
          <w:szCs w:val="18"/>
        </w:rPr>
        <w:sectPr w:rsidR="0098504A" w:rsidRPr="002C61F2" w:rsidSect="005911EF">
          <w:headerReference w:type="even" r:id="rId18"/>
          <w:footerReference w:type="default" r:id="rId19"/>
          <w:pgSz w:w="11906" w:h="16838"/>
          <w:pgMar w:top="1135" w:right="1440" w:bottom="1440" w:left="1440" w:header="709" w:footer="624" w:gutter="0"/>
          <w:pgNumType w:start="1"/>
          <w:cols w:space="720"/>
          <w:titlePg/>
        </w:sectPr>
      </w:pPr>
      <w:r w:rsidRPr="002C61F2">
        <w:rPr>
          <w:rFonts w:ascii="Century Gothic" w:eastAsia="Times New Roman" w:hAnsi="Century Gothic" w:cs="Calibri"/>
          <w:sz w:val="18"/>
          <w:szCs w:val="18"/>
        </w:rPr>
        <w:t>This comprehensive guide has been collaboratively developed and contributed to by several esteemed organizations and companies</w:t>
      </w:r>
      <w:r w:rsidR="003804DA" w:rsidRPr="002C61F2">
        <w:rPr>
          <w:rFonts w:ascii="Century Gothic" w:eastAsia="Times New Roman" w:hAnsi="Century Gothic" w:cs="Calibri"/>
          <w:sz w:val="18"/>
          <w:szCs w:val="18"/>
        </w:rPr>
        <w:t xml:space="preserve">. </w:t>
      </w:r>
      <w:r w:rsidRPr="002C61F2">
        <w:rPr>
          <w:rFonts w:ascii="Century Gothic" w:eastAsia="Times New Roman" w:hAnsi="Century Gothic" w:cs="Calibri"/>
          <w:sz w:val="18"/>
          <w:szCs w:val="18"/>
        </w:rPr>
        <w:t>By effectively utilizing this guide, municipalities can establish a robust wheeling framework, align with national policies and regulations, and harness the benefits of third-party energy wheeling for their communities and long-term energy management strategies</w:t>
      </w:r>
    </w:p>
    <w:p w14:paraId="5276DDAE" w14:textId="182D88A7" w:rsidR="009562F5" w:rsidRPr="002C61F2" w:rsidRDefault="000245B5" w:rsidP="00257292">
      <w:pPr>
        <w:pStyle w:val="Heading1"/>
        <w:rPr>
          <w:sz w:val="28"/>
          <w:szCs w:val="36"/>
        </w:rPr>
      </w:pPr>
      <w:bookmarkStart w:id="3" w:name="_Toc145484186"/>
      <w:bookmarkEnd w:id="0"/>
      <w:r>
        <w:rPr>
          <w:sz w:val="28"/>
          <w:szCs w:val="36"/>
        </w:rPr>
        <w:lastRenderedPageBreak/>
        <w:t>Quick Refer</w:t>
      </w:r>
      <w:r w:rsidR="00BB69D7">
        <w:rPr>
          <w:sz w:val="28"/>
          <w:szCs w:val="36"/>
        </w:rPr>
        <w:t>ence Guide</w:t>
      </w:r>
      <w:bookmarkEnd w:id="3"/>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560"/>
        <w:gridCol w:w="8080"/>
      </w:tblGrid>
      <w:tr w:rsidR="009562F5" w:rsidRPr="002C61F2" w14:paraId="3F75BECA" w14:textId="77777777" w:rsidTr="00211A1F">
        <w:trPr>
          <w:trHeight w:val="846"/>
        </w:trPr>
        <w:tc>
          <w:tcPr>
            <w:tcW w:w="1560" w:type="dxa"/>
            <w:shd w:val="clear" w:color="auto" w:fill="31849B" w:themeFill="accent5" w:themeFillShade="BF"/>
          </w:tcPr>
          <w:p w14:paraId="35233C6B" w14:textId="77777777" w:rsidR="009562F5" w:rsidRPr="002C61F2" w:rsidRDefault="009562F5" w:rsidP="00F77BB4">
            <w:pPr>
              <w:pBdr>
                <w:top w:val="nil"/>
                <w:left w:val="nil"/>
                <w:bottom w:val="nil"/>
                <w:right w:val="nil"/>
                <w:between w:val="nil"/>
              </w:pBdr>
              <w:spacing w:after="0"/>
              <w:rPr>
                <w:rFonts w:ascii="Century Gothic" w:hAnsi="Century Gothic"/>
                <w:b/>
                <w:color w:val="FFFFFF" w:themeColor="background1"/>
                <w:sz w:val="22"/>
                <w:szCs w:val="22"/>
              </w:rPr>
            </w:pPr>
            <w:r w:rsidRPr="002C61F2">
              <w:rPr>
                <w:rFonts w:ascii="Century Gothic" w:hAnsi="Century Gothic"/>
                <w:b/>
                <w:color w:val="FFFFFF" w:themeColor="background1"/>
                <w:sz w:val="22"/>
                <w:szCs w:val="22"/>
              </w:rPr>
              <w:t>Purpose of the document</w:t>
            </w:r>
          </w:p>
        </w:tc>
        <w:tc>
          <w:tcPr>
            <w:tcW w:w="8080" w:type="dxa"/>
            <w:shd w:val="clear" w:color="auto" w:fill="auto"/>
          </w:tcPr>
          <w:p w14:paraId="23D1B767" w14:textId="395F4D86" w:rsidR="009562F5" w:rsidRPr="002C61F2" w:rsidRDefault="009562F5" w:rsidP="006151FD">
            <w:pPr>
              <w:pBdr>
                <w:top w:val="nil"/>
                <w:left w:val="nil"/>
                <w:bottom w:val="nil"/>
                <w:right w:val="nil"/>
                <w:between w:val="nil"/>
              </w:pBdr>
              <w:spacing w:after="0"/>
              <w:rPr>
                <w:rFonts w:ascii="Century Gothic" w:hAnsi="Century Gothic"/>
                <w:color w:val="000000"/>
                <w:sz w:val="18"/>
                <w:szCs w:val="18"/>
              </w:rPr>
            </w:pPr>
            <w:r w:rsidRPr="002C61F2">
              <w:rPr>
                <w:rFonts w:ascii="Century Gothic" w:hAnsi="Century Gothic"/>
                <w:color w:val="000000"/>
                <w:sz w:val="18"/>
                <w:szCs w:val="18"/>
              </w:rPr>
              <w:t xml:space="preserve">This guideline </w:t>
            </w:r>
            <w:r w:rsidR="00211A1F" w:rsidRPr="002C61F2">
              <w:rPr>
                <w:rFonts w:ascii="Century Gothic" w:hAnsi="Century Gothic"/>
                <w:color w:val="000000"/>
                <w:sz w:val="18"/>
                <w:szCs w:val="18"/>
              </w:rPr>
              <w:t xml:space="preserve">describes for municipalities on how to establish and run the third-party wheeling process </w:t>
            </w:r>
            <w:r w:rsidR="00E82DAF" w:rsidRPr="002C61F2">
              <w:rPr>
                <w:rFonts w:ascii="Century Gothic" w:hAnsi="Century Gothic"/>
                <w:color w:val="000000"/>
                <w:sz w:val="18"/>
                <w:szCs w:val="18"/>
              </w:rPr>
              <w:t>to/</w:t>
            </w:r>
            <w:r w:rsidR="00315556" w:rsidRPr="002C61F2">
              <w:rPr>
                <w:rFonts w:ascii="Century Gothic" w:hAnsi="Century Gothic"/>
                <w:color w:val="000000"/>
                <w:sz w:val="18"/>
                <w:szCs w:val="18"/>
              </w:rPr>
              <w:t>from/</w:t>
            </w:r>
            <w:r w:rsidR="004C0EA6" w:rsidRPr="002C61F2">
              <w:rPr>
                <w:rFonts w:ascii="Century Gothic" w:hAnsi="Century Gothic"/>
                <w:color w:val="000000"/>
                <w:sz w:val="18"/>
                <w:szCs w:val="18"/>
              </w:rPr>
              <w:t>within a</w:t>
            </w:r>
            <w:r w:rsidRPr="002C61F2">
              <w:rPr>
                <w:rFonts w:ascii="Century Gothic" w:hAnsi="Century Gothic"/>
                <w:color w:val="000000"/>
                <w:sz w:val="18"/>
                <w:szCs w:val="18"/>
              </w:rPr>
              <w:t xml:space="preserve"> Municipality’s</w:t>
            </w:r>
            <w:r w:rsidR="00EA01F7" w:rsidRPr="002C61F2">
              <w:rPr>
                <w:rFonts w:ascii="Century Gothic" w:hAnsi="Century Gothic"/>
                <w:color w:val="000000"/>
                <w:sz w:val="18"/>
                <w:szCs w:val="18"/>
              </w:rPr>
              <w:t xml:space="preserve"> </w:t>
            </w:r>
            <w:r w:rsidRPr="002C61F2">
              <w:rPr>
                <w:rFonts w:ascii="Century Gothic" w:hAnsi="Century Gothic"/>
                <w:color w:val="000000"/>
                <w:sz w:val="18"/>
                <w:szCs w:val="18"/>
              </w:rPr>
              <w:t xml:space="preserve">distribution grid. </w:t>
            </w:r>
          </w:p>
        </w:tc>
      </w:tr>
      <w:tr w:rsidR="009562F5" w:rsidRPr="002C61F2" w14:paraId="7E70C215" w14:textId="77777777" w:rsidTr="00831A39">
        <w:tc>
          <w:tcPr>
            <w:tcW w:w="1560" w:type="dxa"/>
            <w:shd w:val="clear" w:color="auto" w:fill="31849B" w:themeFill="accent5" w:themeFillShade="BF"/>
          </w:tcPr>
          <w:p w14:paraId="23251317" w14:textId="3A851BE7" w:rsidR="009562F5" w:rsidRPr="002C61F2" w:rsidRDefault="009562F5" w:rsidP="00F77BB4">
            <w:pPr>
              <w:pBdr>
                <w:top w:val="nil"/>
                <w:left w:val="nil"/>
                <w:bottom w:val="nil"/>
                <w:right w:val="nil"/>
                <w:between w:val="nil"/>
              </w:pBdr>
              <w:spacing w:after="0"/>
              <w:rPr>
                <w:rFonts w:ascii="Century Gothic" w:hAnsi="Century Gothic"/>
                <w:b/>
                <w:color w:val="FFFFFF" w:themeColor="background1"/>
                <w:sz w:val="22"/>
                <w:szCs w:val="22"/>
              </w:rPr>
            </w:pPr>
            <w:r w:rsidRPr="002C61F2">
              <w:rPr>
                <w:rFonts w:ascii="Century Gothic" w:hAnsi="Century Gothic"/>
                <w:b/>
                <w:color w:val="FFFFFF" w:themeColor="background1"/>
                <w:sz w:val="22"/>
                <w:szCs w:val="22"/>
              </w:rPr>
              <w:t>Defining third party wheeling</w:t>
            </w:r>
          </w:p>
        </w:tc>
        <w:tc>
          <w:tcPr>
            <w:tcW w:w="8080" w:type="dxa"/>
            <w:shd w:val="clear" w:color="auto" w:fill="auto"/>
          </w:tcPr>
          <w:p w14:paraId="605A2CAD" w14:textId="1D21C0C4" w:rsidR="009562F5" w:rsidRPr="002C61F2" w:rsidRDefault="009562F5" w:rsidP="00F77BB4">
            <w:pPr>
              <w:pBdr>
                <w:top w:val="nil"/>
                <w:left w:val="nil"/>
                <w:bottom w:val="nil"/>
                <w:right w:val="nil"/>
                <w:between w:val="nil"/>
              </w:pBdr>
              <w:spacing w:after="0"/>
              <w:rPr>
                <w:rFonts w:ascii="Century Gothic" w:hAnsi="Century Gothic"/>
                <w:color w:val="000000"/>
                <w:sz w:val="18"/>
                <w:szCs w:val="18"/>
              </w:rPr>
            </w:pPr>
            <w:r w:rsidRPr="002C61F2">
              <w:rPr>
                <w:rFonts w:ascii="Century Gothic" w:hAnsi="Century Gothic"/>
                <w:color w:val="000000"/>
                <w:sz w:val="18"/>
                <w:szCs w:val="18"/>
              </w:rPr>
              <w:t xml:space="preserve">Electricity wheeling refers to </w:t>
            </w:r>
            <w:r w:rsidR="003A4142" w:rsidRPr="002C61F2">
              <w:rPr>
                <w:rFonts w:ascii="Century Gothic" w:hAnsi="Century Gothic"/>
                <w:color w:val="000000"/>
                <w:sz w:val="18"/>
                <w:szCs w:val="18"/>
              </w:rPr>
              <w:t>t</w:t>
            </w:r>
            <w:r w:rsidRPr="002C61F2">
              <w:rPr>
                <w:rFonts w:ascii="Century Gothic" w:hAnsi="Century Gothic"/>
                <w:color w:val="000000"/>
                <w:sz w:val="18"/>
                <w:szCs w:val="18"/>
              </w:rPr>
              <w:t xml:space="preserve">he delivery of electrical energy over the </w:t>
            </w:r>
            <w:r w:rsidR="00215A8F" w:rsidRPr="002C61F2">
              <w:rPr>
                <w:rFonts w:ascii="Century Gothic" w:hAnsi="Century Gothic"/>
                <w:color w:val="000000"/>
                <w:sz w:val="18"/>
                <w:szCs w:val="18"/>
              </w:rPr>
              <w:t>electric</w:t>
            </w:r>
            <w:r w:rsidR="00096C41" w:rsidRPr="002C61F2">
              <w:rPr>
                <w:rFonts w:ascii="Century Gothic" w:hAnsi="Century Gothic"/>
                <w:color w:val="000000"/>
                <w:sz w:val="18"/>
                <w:szCs w:val="18"/>
              </w:rPr>
              <w:t>ity n</w:t>
            </w:r>
            <w:r w:rsidRPr="002C61F2">
              <w:rPr>
                <w:rFonts w:ascii="Century Gothic" w:hAnsi="Century Gothic"/>
                <w:color w:val="000000"/>
                <w:sz w:val="18"/>
                <w:szCs w:val="18"/>
              </w:rPr>
              <w:t>etwork from generators to customers. Third-party wheeling is a financial transaction where</w:t>
            </w:r>
            <w:r w:rsidR="00096C41" w:rsidRPr="002C61F2">
              <w:rPr>
                <w:rFonts w:ascii="Century Gothic" w:hAnsi="Century Gothic"/>
                <w:color w:val="000000"/>
                <w:sz w:val="18"/>
                <w:szCs w:val="18"/>
              </w:rPr>
              <w:t>,</w:t>
            </w:r>
            <w:r w:rsidRPr="002C61F2">
              <w:rPr>
                <w:rFonts w:ascii="Century Gothic" w:hAnsi="Century Gothic"/>
                <w:color w:val="000000"/>
                <w:sz w:val="18"/>
                <w:szCs w:val="18"/>
              </w:rPr>
              <w:t xml:space="preserve"> through a bi-lateral</w:t>
            </w:r>
            <w:r w:rsidR="00096C41" w:rsidRPr="002C61F2">
              <w:rPr>
                <w:rFonts w:ascii="Century Gothic" w:hAnsi="Century Gothic"/>
                <w:color w:val="000000"/>
                <w:sz w:val="18"/>
                <w:szCs w:val="18"/>
              </w:rPr>
              <w:t xml:space="preserve"> or multi-lateral</w:t>
            </w:r>
            <w:r w:rsidRPr="002C61F2">
              <w:rPr>
                <w:rFonts w:ascii="Century Gothic" w:hAnsi="Century Gothic"/>
                <w:color w:val="000000"/>
                <w:sz w:val="18"/>
                <w:szCs w:val="18"/>
              </w:rPr>
              <w:t xml:space="preserve"> transaction, a generator sells their generated electrical energy to another party, using the existing distribution or transmission infrastructure of a Licensee.</w:t>
            </w:r>
          </w:p>
        </w:tc>
      </w:tr>
      <w:tr w:rsidR="009562F5" w:rsidRPr="00E55368" w14:paraId="5F8D8133" w14:textId="77777777" w:rsidTr="00831A39">
        <w:tc>
          <w:tcPr>
            <w:tcW w:w="1560" w:type="dxa"/>
            <w:shd w:val="clear" w:color="auto" w:fill="31849B" w:themeFill="accent5" w:themeFillShade="BF"/>
          </w:tcPr>
          <w:p w14:paraId="46D2ACA5" w14:textId="5E6205E8" w:rsidR="009562F5" w:rsidRPr="00C4302F" w:rsidRDefault="009562F5" w:rsidP="00F77BB4">
            <w:pPr>
              <w:pBdr>
                <w:top w:val="nil"/>
                <w:left w:val="nil"/>
                <w:bottom w:val="nil"/>
                <w:right w:val="nil"/>
                <w:between w:val="nil"/>
              </w:pBdr>
              <w:spacing w:after="0"/>
              <w:rPr>
                <w:rFonts w:ascii="Century Gothic" w:hAnsi="Century Gothic"/>
                <w:b/>
                <w:color w:val="FFFFFF" w:themeColor="background1"/>
                <w:sz w:val="24"/>
                <w:szCs w:val="24"/>
              </w:rPr>
            </w:pPr>
            <w:r w:rsidRPr="00C4302F">
              <w:rPr>
                <w:rFonts w:ascii="Century Gothic" w:hAnsi="Century Gothic"/>
                <w:b/>
                <w:color w:val="FFFFFF" w:themeColor="background1"/>
                <w:sz w:val="24"/>
                <w:szCs w:val="24"/>
              </w:rPr>
              <w:t>The need for this document</w:t>
            </w:r>
          </w:p>
        </w:tc>
        <w:tc>
          <w:tcPr>
            <w:tcW w:w="8080" w:type="dxa"/>
            <w:shd w:val="clear" w:color="auto" w:fill="auto"/>
          </w:tcPr>
          <w:p w14:paraId="1744C4F1" w14:textId="7615D5C9" w:rsidR="008878A1" w:rsidRPr="008878A1" w:rsidRDefault="008878A1" w:rsidP="008878A1">
            <w:pPr>
              <w:pBdr>
                <w:top w:val="nil"/>
                <w:left w:val="nil"/>
                <w:bottom w:val="nil"/>
                <w:right w:val="nil"/>
                <w:between w:val="nil"/>
              </w:pBdr>
              <w:spacing w:after="0"/>
              <w:rPr>
                <w:rFonts w:ascii="Century Gothic" w:hAnsi="Century Gothic"/>
                <w:color w:val="000000"/>
              </w:rPr>
            </w:pPr>
            <w:r w:rsidRPr="00E55368">
              <w:rPr>
                <w:rFonts w:ascii="Century Gothic" w:hAnsi="Century Gothic"/>
                <w:color w:val="000000"/>
              </w:rPr>
              <w:t>Municipalities are receiving an increasing number of requests to wheel across the</w:t>
            </w:r>
            <w:r w:rsidR="009B307C">
              <w:rPr>
                <w:rFonts w:ascii="Century Gothic" w:hAnsi="Century Gothic"/>
                <w:color w:val="000000"/>
              </w:rPr>
              <w:t>ir</w:t>
            </w:r>
            <w:r w:rsidRPr="00E55368">
              <w:rPr>
                <w:rFonts w:ascii="Century Gothic" w:hAnsi="Century Gothic"/>
                <w:color w:val="000000"/>
              </w:rPr>
              <w:t xml:space="preserve"> distribution grid, whe</w:t>
            </w:r>
            <w:r>
              <w:rPr>
                <w:rFonts w:ascii="Century Gothic" w:hAnsi="Century Gothic"/>
                <w:color w:val="000000"/>
              </w:rPr>
              <w:t>re</w:t>
            </w:r>
            <w:r w:rsidRPr="00E55368">
              <w:rPr>
                <w:rFonts w:ascii="Century Gothic" w:hAnsi="Century Gothic"/>
                <w:color w:val="000000"/>
              </w:rPr>
              <w:t xml:space="preserve"> either</w:t>
            </w:r>
            <w:r>
              <w:rPr>
                <w:rFonts w:ascii="Century Gothic" w:hAnsi="Century Gothic"/>
                <w:color w:val="000000"/>
              </w:rPr>
              <w:t>,</w:t>
            </w:r>
            <w:r w:rsidRPr="00E55368">
              <w:rPr>
                <w:rFonts w:ascii="Century Gothic" w:hAnsi="Century Gothic"/>
                <w:color w:val="000000"/>
              </w:rPr>
              <w:t xml:space="preserve"> or both</w:t>
            </w:r>
            <w:r>
              <w:rPr>
                <w:rFonts w:ascii="Century Gothic" w:hAnsi="Century Gothic"/>
                <w:color w:val="000000"/>
              </w:rPr>
              <w:t>,</w:t>
            </w:r>
            <w:r w:rsidRPr="00E55368">
              <w:rPr>
                <w:rFonts w:ascii="Century Gothic" w:hAnsi="Century Gothic"/>
                <w:color w:val="000000"/>
              </w:rPr>
              <w:t xml:space="preserve"> the generation facility and the customer premises </w:t>
            </w:r>
            <w:r>
              <w:rPr>
                <w:rFonts w:ascii="Century Gothic" w:hAnsi="Century Gothic"/>
                <w:color w:val="000000"/>
              </w:rPr>
              <w:t>are</w:t>
            </w:r>
            <w:r w:rsidRPr="00E55368">
              <w:rPr>
                <w:rFonts w:ascii="Century Gothic" w:hAnsi="Century Gothic"/>
                <w:color w:val="000000"/>
              </w:rPr>
              <w:t xml:space="preserve"> located within a Municipality jurisdiction</w:t>
            </w:r>
            <w:r w:rsidR="00AF320B">
              <w:rPr>
                <w:rFonts w:ascii="Century Gothic" w:hAnsi="Century Gothic"/>
                <w:color w:val="000000"/>
              </w:rPr>
              <w:t xml:space="preserve"> and connected to their grid</w:t>
            </w:r>
            <w:r w:rsidRPr="00E55368">
              <w:rPr>
                <w:rFonts w:ascii="Century Gothic" w:hAnsi="Century Gothic"/>
                <w:color w:val="000000"/>
              </w:rPr>
              <w:t>. It is important that municipalities develop wheeling guidelines and processes for the following reasons:</w:t>
            </w:r>
          </w:p>
          <w:p w14:paraId="54361E5F" w14:textId="77777777" w:rsidR="006B5C5B" w:rsidRPr="006B5C5B" w:rsidRDefault="006B5C5B" w:rsidP="00871EE8">
            <w:pPr>
              <w:pStyle w:val="BodyText"/>
              <w:numPr>
                <w:ilvl w:val="0"/>
                <w:numId w:val="12"/>
              </w:numPr>
              <w:pBdr>
                <w:top w:val="nil"/>
                <w:left w:val="nil"/>
                <w:bottom w:val="nil"/>
                <w:right w:val="nil"/>
                <w:between w:val="nil"/>
              </w:pBdr>
              <w:spacing w:beforeLines="60" w:before="144" w:afterLines="60" w:after="144" w:line="240" w:lineRule="auto"/>
              <w:rPr>
                <w:rFonts w:ascii="Century Gothic" w:hAnsi="Century Gothic" w:cs="Arial"/>
              </w:rPr>
            </w:pPr>
            <w:r w:rsidRPr="006B5C5B">
              <w:rPr>
                <w:rFonts w:ascii="Century Gothic" w:hAnsi="Century Gothic" w:cs="Arial"/>
              </w:rPr>
              <w:t>Revenue Generation: Third-party wheeling generates new income through charges, fees, and connection costs, providing funds for local infrastructure and development projects.</w:t>
            </w:r>
          </w:p>
          <w:p w14:paraId="3B3812FB" w14:textId="77777777" w:rsidR="006B5C5B" w:rsidRPr="006B5C5B" w:rsidRDefault="006B5C5B" w:rsidP="00871EE8">
            <w:pPr>
              <w:pStyle w:val="BodyText"/>
              <w:numPr>
                <w:ilvl w:val="0"/>
                <w:numId w:val="12"/>
              </w:numPr>
              <w:pBdr>
                <w:top w:val="nil"/>
                <w:left w:val="nil"/>
                <w:bottom w:val="nil"/>
                <w:right w:val="nil"/>
                <w:between w:val="nil"/>
              </w:pBdr>
              <w:spacing w:beforeLines="60" w:before="144" w:afterLines="60" w:after="144" w:line="240" w:lineRule="auto"/>
              <w:rPr>
                <w:rFonts w:ascii="Century Gothic" w:hAnsi="Century Gothic" w:cs="Arial"/>
              </w:rPr>
            </w:pPr>
            <w:r w:rsidRPr="006B5C5B">
              <w:rPr>
                <w:rFonts w:ascii="Century Gothic" w:hAnsi="Century Gothic" w:cs="Arial"/>
              </w:rPr>
              <w:t>Economic Growth: Encouraging private investments in generation fosters job creation and economic activity within the municipality.</w:t>
            </w:r>
          </w:p>
          <w:p w14:paraId="713CF34F" w14:textId="77777777" w:rsidR="006B5C5B" w:rsidRPr="006B5C5B" w:rsidRDefault="006B5C5B" w:rsidP="00871EE8">
            <w:pPr>
              <w:pStyle w:val="BodyText"/>
              <w:numPr>
                <w:ilvl w:val="0"/>
                <w:numId w:val="12"/>
              </w:numPr>
              <w:pBdr>
                <w:top w:val="nil"/>
                <w:left w:val="nil"/>
                <w:bottom w:val="nil"/>
                <w:right w:val="nil"/>
                <w:between w:val="nil"/>
              </w:pBdr>
              <w:spacing w:beforeLines="60" w:before="144" w:afterLines="60" w:after="144" w:line="240" w:lineRule="auto"/>
              <w:rPr>
                <w:rFonts w:ascii="Century Gothic" w:hAnsi="Century Gothic" w:cs="Arial"/>
              </w:rPr>
            </w:pPr>
            <w:r w:rsidRPr="006B5C5B">
              <w:rPr>
                <w:rFonts w:ascii="Century Gothic" w:hAnsi="Century Gothic" w:cs="Arial"/>
              </w:rPr>
              <w:t>Energy Security: Diverse energy sources from private generation projects reduce dependency on a single energy supply, enhancing resilience against disruptions.</w:t>
            </w:r>
          </w:p>
          <w:p w14:paraId="4A4F0C85" w14:textId="77777777" w:rsidR="006B5C5B" w:rsidRPr="006B5C5B" w:rsidRDefault="006B5C5B" w:rsidP="00871EE8">
            <w:pPr>
              <w:pStyle w:val="BodyText"/>
              <w:numPr>
                <w:ilvl w:val="0"/>
                <w:numId w:val="12"/>
              </w:numPr>
              <w:pBdr>
                <w:top w:val="nil"/>
                <w:left w:val="nil"/>
                <w:bottom w:val="nil"/>
                <w:right w:val="nil"/>
                <w:between w:val="nil"/>
              </w:pBdr>
              <w:spacing w:beforeLines="60" w:before="144" w:afterLines="60" w:after="144" w:line="240" w:lineRule="auto"/>
              <w:rPr>
                <w:rFonts w:ascii="Century Gothic" w:hAnsi="Century Gothic" w:cs="Arial"/>
              </w:rPr>
            </w:pPr>
            <w:r w:rsidRPr="006B5C5B">
              <w:rPr>
                <w:rFonts w:ascii="Century Gothic" w:hAnsi="Century Gothic" w:cs="Arial"/>
              </w:rPr>
              <w:t>Green Initiatives: Facilitating wheeling aligns with sustainability goals, promoting clean energy projects and lowering carbon emissions.</w:t>
            </w:r>
          </w:p>
          <w:p w14:paraId="55A016AB" w14:textId="77777777" w:rsidR="006B5C5B" w:rsidRPr="006B5C5B" w:rsidRDefault="006B5C5B" w:rsidP="00871EE8">
            <w:pPr>
              <w:pStyle w:val="BodyText"/>
              <w:numPr>
                <w:ilvl w:val="0"/>
                <w:numId w:val="12"/>
              </w:numPr>
              <w:pBdr>
                <w:top w:val="nil"/>
                <w:left w:val="nil"/>
                <w:bottom w:val="nil"/>
                <w:right w:val="nil"/>
                <w:between w:val="nil"/>
              </w:pBdr>
              <w:spacing w:beforeLines="60" w:before="144" w:afterLines="60" w:after="144" w:line="240" w:lineRule="auto"/>
              <w:rPr>
                <w:rFonts w:ascii="Century Gothic" w:hAnsi="Century Gothic" w:cs="Arial"/>
              </w:rPr>
            </w:pPr>
            <w:r w:rsidRPr="006B5C5B">
              <w:rPr>
                <w:rFonts w:ascii="Century Gothic" w:hAnsi="Century Gothic" w:cs="Arial"/>
              </w:rPr>
              <w:t>Technological Advancement: Partnering with private generators introduces advanced technologies and innovation, positioning the municipality as a tech-savvy hub.</w:t>
            </w:r>
          </w:p>
          <w:p w14:paraId="79927B7B" w14:textId="77777777" w:rsidR="006B5C5B" w:rsidRPr="006B5C5B" w:rsidRDefault="006B5C5B" w:rsidP="00871EE8">
            <w:pPr>
              <w:pStyle w:val="BodyText"/>
              <w:numPr>
                <w:ilvl w:val="0"/>
                <w:numId w:val="12"/>
              </w:numPr>
              <w:pBdr>
                <w:top w:val="nil"/>
                <w:left w:val="nil"/>
                <w:bottom w:val="nil"/>
                <w:right w:val="nil"/>
                <w:between w:val="nil"/>
              </w:pBdr>
              <w:spacing w:beforeLines="60" w:before="144" w:afterLines="60" w:after="144" w:line="240" w:lineRule="auto"/>
              <w:rPr>
                <w:rFonts w:ascii="Century Gothic" w:hAnsi="Century Gothic" w:cs="Arial"/>
              </w:rPr>
            </w:pPr>
            <w:r w:rsidRPr="006B5C5B">
              <w:rPr>
                <w:rFonts w:ascii="Century Gothic" w:hAnsi="Century Gothic" w:cs="Arial"/>
              </w:rPr>
              <w:t>Collaboration: Partnerships with energy generators foster knowledge exchange and a supportive energy ecosystem.</w:t>
            </w:r>
          </w:p>
          <w:p w14:paraId="039803F7" w14:textId="77777777" w:rsidR="006B5C5B" w:rsidRPr="006B5C5B" w:rsidRDefault="006B5C5B" w:rsidP="00871EE8">
            <w:pPr>
              <w:pStyle w:val="BodyText"/>
              <w:numPr>
                <w:ilvl w:val="0"/>
                <w:numId w:val="12"/>
              </w:numPr>
              <w:pBdr>
                <w:top w:val="nil"/>
                <w:left w:val="nil"/>
                <w:bottom w:val="nil"/>
                <w:right w:val="nil"/>
                <w:between w:val="nil"/>
              </w:pBdr>
              <w:spacing w:beforeLines="60" w:before="144" w:afterLines="60" w:after="144" w:line="240" w:lineRule="auto"/>
              <w:rPr>
                <w:rFonts w:ascii="Century Gothic" w:hAnsi="Century Gothic" w:cs="Arial"/>
              </w:rPr>
            </w:pPr>
            <w:r w:rsidRPr="006B5C5B">
              <w:rPr>
                <w:rFonts w:ascii="Century Gothic" w:hAnsi="Century Gothic" w:cs="Arial"/>
              </w:rPr>
              <w:t>Infrastructure Development: Private investments can lead to shared infrastructure improvements, benefiting both the municipality and energy projects.</w:t>
            </w:r>
          </w:p>
          <w:p w14:paraId="79DCCBF5" w14:textId="77777777" w:rsidR="006B5C5B" w:rsidRPr="006B5C5B" w:rsidRDefault="006B5C5B" w:rsidP="00871EE8">
            <w:pPr>
              <w:pStyle w:val="BodyText"/>
              <w:numPr>
                <w:ilvl w:val="0"/>
                <w:numId w:val="12"/>
              </w:numPr>
              <w:pBdr>
                <w:top w:val="nil"/>
                <w:left w:val="nil"/>
                <w:bottom w:val="nil"/>
                <w:right w:val="nil"/>
                <w:between w:val="nil"/>
              </w:pBdr>
              <w:spacing w:beforeLines="60" w:before="144" w:afterLines="60" w:after="144" w:line="240" w:lineRule="auto"/>
              <w:rPr>
                <w:rFonts w:ascii="Century Gothic" w:hAnsi="Century Gothic" w:cs="Arial"/>
              </w:rPr>
            </w:pPr>
            <w:r w:rsidRPr="006B5C5B">
              <w:rPr>
                <w:rFonts w:ascii="Century Gothic" w:hAnsi="Century Gothic" w:cs="Arial"/>
              </w:rPr>
              <w:t>Community Impact: Revenue from wheeling supports local services like education, healthcare, and public infrastructure.</w:t>
            </w:r>
          </w:p>
          <w:p w14:paraId="26895CCF" w14:textId="77777777" w:rsidR="006B5C5B" w:rsidRPr="006B5C5B" w:rsidRDefault="006B5C5B" w:rsidP="00871EE8">
            <w:pPr>
              <w:pStyle w:val="BodyText"/>
              <w:numPr>
                <w:ilvl w:val="0"/>
                <w:numId w:val="12"/>
              </w:numPr>
              <w:pBdr>
                <w:top w:val="nil"/>
                <w:left w:val="nil"/>
                <w:bottom w:val="nil"/>
                <w:right w:val="nil"/>
                <w:between w:val="nil"/>
              </w:pBdr>
              <w:spacing w:beforeLines="60" w:before="144" w:afterLines="60" w:after="144" w:line="240" w:lineRule="auto"/>
              <w:rPr>
                <w:rFonts w:ascii="Century Gothic" w:hAnsi="Century Gothic" w:cs="Arial"/>
              </w:rPr>
            </w:pPr>
            <w:r w:rsidRPr="006B5C5B">
              <w:rPr>
                <w:rFonts w:ascii="Century Gothic" w:hAnsi="Century Gothic" w:cs="Arial"/>
              </w:rPr>
              <w:t>Regulatory Compliance: Clear guidelines showcase commitment to regulations, enhancing the municipality's reputation and attracting further investment.</w:t>
            </w:r>
          </w:p>
          <w:p w14:paraId="7EBA2CC4" w14:textId="77777777" w:rsidR="006B5C5B" w:rsidRPr="006B5C5B" w:rsidRDefault="006B5C5B" w:rsidP="00871EE8">
            <w:pPr>
              <w:pStyle w:val="BodyText"/>
              <w:numPr>
                <w:ilvl w:val="0"/>
                <w:numId w:val="12"/>
              </w:numPr>
              <w:pBdr>
                <w:top w:val="nil"/>
                <w:left w:val="nil"/>
                <w:bottom w:val="nil"/>
                <w:right w:val="nil"/>
                <w:between w:val="nil"/>
              </w:pBdr>
              <w:spacing w:beforeLines="60" w:before="144" w:afterLines="60" w:after="144" w:line="240" w:lineRule="auto"/>
              <w:rPr>
                <w:rFonts w:ascii="Century Gothic" w:hAnsi="Century Gothic" w:cs="Arial"/>
              </w:rPr>
            </w:pPr>
            <w:r w:rsidRPr="006B5C5B">
              <w:rPr>
                <w:rFonts w:ascii="Century Gothic" w:hAnsi="Century Gothic" w:cs="Arial"/>
              </w:rPr>
              <w:t>Strategic Leadership: Proactive wheeling guidelines position the municipality as an energy management leader, attracting stakeholders and investors.</w:t>
            </w:r>
          </w:p>
          <w:p w14:paraId="4754448D" w14:textId="479F43D5" w:rsidR="006B5C5B" w:rsidRPr="006B5C5B" w:rsidRDefault="006B5C5B" w:rsidP="00871EE8">
            <w:pPr>
              <w:pStyle w:val="BodyText"/>
              <w:numPr>
                <w:ilvl w:val="0"/>
                <w:numId w:val="12"/>
              </w:numPr>
              <w:pBdr>
                <w:top w:val="nil"/>
                <w:left w:val="nil"/>
                <w:bottom w:val="nil"/>
                <w:right w:val="nil"/>
                <w:between w:val="nil"/>
              </w:pBdr>
              <w:spacing w:beforeLines="60" w:before="144" w:afterLines="60" w:after="144" w:line="240" w:lineRule="auto"/>
              <w:rPr>
                <w:rFonts w:ascii="Century Gothic" w:hAnsi="Century Gothic" w:cs="Arial"/>
              </w:rPr>
            </w:pPr>
            <w:r w:rsidRPr="006B5C5B">
              <w:rPr>
                <w:rFonts w:ascii="Century Gothic" w:hAnsi="Century Gothic" w:cs="Arial"/>
              </w:rPr>
              <w:t>Load Shedding Mitigation: Wheeling supports private sector investment in generation and storage, contributing to reducing or eliminating load shedding incidents</w:t>
            </w:r>
            <w:r w:rsidR="009036F3">
              <w:rPr>
                <w:rFonts w:ascii="Century Gothic" w:hAnsi="Century Gothic" w:cs="Arial"/>
              </w:rPr>
              <w:t xml:space="preserve"> in the long term.</w:t>
            </w:r>
          </w:p>
          <w:p w14:paraId="06D6BE0D" w14:textId="77777777" w:rsidR="006B5C5B" w:rsidRPr="006B5C5B" w:rsidRDefault="006B5C5B" w:rsidP="00871EE8">
            <w:pPr>
              <w:pStyle w:val="BodyText"/>
              <w:numPr>
                <w:ilvl w:val="0"/>
                <w:numId w:val="12"/>
              </w:numPr>
              <w:pBdr>
                <w:top w:val="nil"/>
                <w:left w:val="nil"/>
                <w:bottom w:val="nil"/>
                <w:right w:val="nil"/>
                <w:between w:val="nil"/>
              </w:pBdr>
              <w:spacing w:beforeLines="60" w:before="144" w:afterLines="60" w:after="144" w:line="240" w:lineRule="auto"/>
              <w:rPr>
                <w:rFonts w:ascii="Century Gothic" w:hAnsi="Century Gothic" w:cs="Arial"/>
              </w:rPr>
            </w:pPr>
            <w:r w:rsidRPr="006B5C5B">
              <w:rPr>
                <w:rFonts w:ascii="Century Gothic" w:hAnsi="Century Gothic" w:cs="Arial"/>
              </w:rPr>
              <w:t>Decarbonization and Sustainability: Wheeling enables customers to access clean energy, aiding in their efforts to reduce carbon footprints and meet sustainability targets.</w:t>
            </w:r>
          </w:p>
          <w:p w14:paraId="7745B09E" w14:textId="77777777" w:rsidR="006B5C5B" w:rsidRPr="006B5C5B" w:rsidRDefault="006B5C5B" w:rsidP="00871EE8">
            <w:pPr>
              <w:pStyle w:val="BodyText"/>
              <w:numPr>
                <w:ilvl w:val="0"/>
                <w:numId w:val="12"/>
              </w:numPr>
              <w:pBdr>
                <w:top w:val="nil"/>
                <w:left w:val="nil"/>
                <w:bottom w:val="nil"/>
                <w:right w:val="nil"/>
                <w:between w:val="nil"/>
              </w:pBdr>
              <w:spacing w:beforeLines="60" w:before="144" w:afterLines="60" w:after="144" w:line="240" w:lineRule="auto"/>
              <w:rPr>
                <w:rFonts w:ascii="Century Gothic" w:hAnsi="Century Gothic" w:cs="Arial"/>
              </w:rPr>
            </w:pPr>
            <w:r w:rsidRPr="006B5C5B">
              <w:rPr>
                <w:rFonts w:ascii="Century Gothic" w:hAnsi="Century Gothic" w:cs="Arial"/>
              </w:rPr>
              <w:lastRenderedPageBreak/>
              <w:t>Cost Efficiency: Customers can potentially secure cost-effective electricity through wheeling, leading to reduced electricity expenses.</w:t>
            </w:r>
          </w:p>
          <w:p w14:paraId="47958A92" w14:textId="77777777" w:rsidR="006B5C5B" w:rsidRPr="006B5C5B" w:rsidRDefault="006B5C5B" w:rsidP="00871EE8">
            <w:pPr>
              <w:pStyle w:val="BodyText"/>
              <w:numPr>
                <w:ilvl w:val="0"/>
                <w:numId w:val="12"/>
              </w:numPr>
              <w:pBdr>
                <w:top w:val="nil"/>
                <w:left w:val="nil"/>
                <w:bottom w:val="nil"/>
                <w:right w:val="nil"/>
                <w:between w:val="nil"/>
              </w:pBdr>
              <w:spacing w:beforeLines="60" w:before="144" w:afterLines="60" w:after="144" w:line="240" w:lineRule="auto"/>
              <w:rPr>
                <w:rFonts w:ascii="Century Gothic" w:hAnsi="Century Gothic" w:cs="Arial"/>
              </w:rPr>
            </w:pPr>
            <w:r w:rsidRPr="006B5C5B">
              <w:rPr>
                <w:rFonts w:ascii="Century Gothic" w:hAnsi="Century Gothic" w:cs="Arial"/>
              </w:rPr>
              <w:t>Price Certainty: Wheeling facilitates long-term power purchase agreements, offering customers stable electricity costs over time.</w:t>
            </w:r>
          </w:p>
          <w:p w14:paraId="6DEC92A3" w14:textId="23557C4F" w:rsidR="00954313" w:rsidRPr="00954313" w:rsidRDefault="006B5C5B" w:rsidP="00871EE8">
            <w:pPr>
              <w:pStyle w:val="BodyText"/>
              <w:numPr>
                <w:ilvl w:val="0"/>
                <w:numId w:val="12"/>
              </w:numPr>
              <w:pBdr>
                <w:top w:val="nil"/>
                <w:left w:val="nil"/>
                <w:bottom w:val="nil"/>
                <w:right w:val="nil"/>
                <w:between w:val="nil"/>
              </w:pBdr>
              <w:spacing w:beforeLines="60" w:before="144" w:afterLines="60" w:after="144" w:line="240" w:lineRule="auto"/>
              <w:rPr>
                <w:rFonts w:ascii="Century Gothic" w:hAnsi="Century Gothic" w:cs="Arial"/>
              </w:rPr>
            </w:pPr>
            <w:r w:rsidRPr="006B5C5B">
              <w:rPr>
                <w:rFonts w:ascii="Century Gothic" w:hAnsi="Century Gothic" w:cs="Arial"/>
              </w:rPr>
              <w:t>Geographical Flexibility: Customers gain the ability to source energy from generation facilities not physically connected to their premises, enhancing energy procurement options.</w:t>
            </w:r>
          </w:p>
          <w:p w14:paraId="081D1A7A" w14:textId="7FD13259" w:rsidR="009562F5" w:rsidRPr="006B5C5B" w:rsidRDefault="00954313" w:rsidP="00954313">
            <w:pPr>
              <w:pStyle w:val="BodyText"/>
              <w:pBdr>
                <w:top w:val="nil"/>
                <w:left w:val="nil"/>
                <w:bottom w:val="nil"/>
                <w:right w:val="nil"/>
                <w:between w:val="nil"/>
              </w:pBdr>
              <w:spacing w:beforeLines="60" w:before="144" w:afterLines="60" w:after="144" w:line="240" w:lineRule="auto"/>
              <w:rPr>
                <w:rFonts w:ascii="Century Gothic" w:hAnsi="Century Gothic" w:cs="Arial"/>
              </w:rPr>
            </w:pPr>
            <w:r w:rsidRPr="00954313">
              <w:rPr>
                <w:rFonts w:ascii="Century Gothic" w:hAnsi="Century Gothic" w:cs="Arial"/>
              </w:rPr>
              <w:t>By embracing these benefits, municipalities can create a comprehensive framework for wheeling that not only supports customer needs but also aligns with local development strategies and energy sector advancemen</w:t>
            </w:r>
            <w:r>
              <w:rPr>
                <w:rFonts w:ascii="Century Gothic" w:hAnsi="Century Gothic" w:cs="Arial"/>
              </w:rPr>
              <w:t xml:space="preserve">t. </w:t>
            </w:r>
            <w:r w:rsidR="009562F5" w:rsidRPr="006B5C5B">
              <w:rPr>
                <w:rFonts w:ascii="Century Gothic" w:hAnsi="Century Gothic" w:cs="Arial"/>
              </w:rPr>
              <w:t>Further, distribution licensees are obligated to provide non-discriminatory access to their electricity grids and must therefore facilitate the wheeling of electricity across distribution grids.</w:t>
            </w:r>
          </w:p>
        </w:tc>
      </w:tr>
      <w:tr w:rsidR="009562F5" w:rsidRPr="00E55368" w14:paraId="4ECFD940" w14:textId="77777777" w:rsidTr="00831A39">
        <w:tc>
          <w:tcPr>
            <w:tcW w:w="1560" w:type="dxa"/>
            <w:shd w:val="clear" w:color="auto" w:fill="31849B" w:themeFill="accent5" w:themeFillShade="BF"/>
          </w:tcPr>
          <w:p w14:paraId="52A27B49" w14:textId="77777777" w:rsidR="009562F5" w:rsidRPr="00C4302F" w:rsidRDefault="009562F5" w:rsidP="00F77BB4">
            <w:pPr>
              <w:pBdr>
                <w:top w:val="nil"/>
                <w:left w:val="nil"/>
                <w:bottom w:val="nil"/>
                <w:right w:val="nil"/>
                <w:between w:val="nil"/>
              </w:pBdr>
              <w:spacing w:after="0"/>
              <w:rPr>
                <w:rFonts w:ascii="Century Gothic" w:hAnsi="Century Gothic"/>
                <w:b/>
                <w:color w:val="FFFFFF" w:themeColor="background1"/>
                <w:sz w:val="24"/>
                <w:szCs w:val="24"/>
              </w:rPr>
            </w:pPr>
            <w:r w:rsidRPr="00C4302F">
              <w:rPr>
                <w:rFonts w:ascii="Century Gothic" w:hAnsi="Century Gothic"/>
                <w:b/>
                <w:color w:val="FFFFFF" w:themeColor="background1"/>
                <w:sz w:val="24"/>
                <w:szCs w:val="24"/>
              </w:rPr>
              <w:t xml:space="preserve">Scope </w:t>
            </w:r>
          </w:p>
        </w:tc>
        <w:tc>
          <w:tcPr>
            <w:tcW w:w="8080" w:type="dxa"/>
            <w:shd w:val="clear" w:color="auto" w:fill="auto"/>
          </w:tcPr>
          <w:p w14:paraId="3E607FBA" w14:textId="77777777" w:rsidR="009562F5" w:rsidRPr="00E55368" w:rsidRDefault="009562F5" w:rsidP="00F77BB4">
            <w:pPr>
              <w:pBdr>
                <w:top w:val="nil"/>
                <w:left w:val="nil"/>
                <w:bottom w:val="nil"/>
                <w:right w:val="nil"/>
                <w:between w:val="nil"/>
              </w:pBdr>
              <w:spacing w:after="0"/>
              <w:rPr>
                <w:rFonts w:ascii="Century Gothic" w:hAnsi="Century Gothic"/>
                <w:color w:val="000000"/>
              </w:rPr>
            </w:pPr>
            <w:r w:rsidRPr="00E55368">
              <w:rPr>
                <w:rFonts w:ascii="Century Gothic" w:hAnsi="Century Gothic"/>
                <w:color w:val="000000"/>
              </w:rPr>
              <w:t>This document covers:</w:t>
            </w:r>
          </w:p>
          <w:p w14:paraId="1710E51B" w14:textId="3981FC0F" w:rsidR="009562F5" w:rsidRPr="008878A1" w:rsidRDefault="009562F5" w:rsidP="00871EE8">
            <w:pPr>
              <w:pStyle w:val="BodyText"/>
              <w:numPr>
                <w:ilvl w:val="0"/>
                <w:numId w:val="12"/>
              </w:numPr>
              <w:pBdr>
                <w:top w:val="nil"/>
                <w:left w:val="nil"/>
                <w:bottom w:val="nil"/>
                <w:right w:val="nil"/>
                <w:between w:val="nil"/>
              </w:pBdr>
              <w:spacing w:beforeLines="60" w:before="144" w:afterLines="60" w:after="144" w:line="240" w:lineRule="auto"/>
              <w:rPr>
                <w:rFonts w:ascii="Century Gothic" w:hAnsi="Century Gothic" w:cs="Arial"/>
              </w:rPr>
            </w:pPr>
            <w:r w:rsidRPr="008878A1">
              <w:rPr>
                <w:rFonts w:ascii="Century Gothic" w:hAnsi="Century Gothic" w:cs="Arial"/>
              </w:rPr>
              <w:t xml:space="preserve">Operational </w:t>
            </w:r>
            <w:r w:rsidR="004C1B08" w:rsidRPr="008878A1">
              <w:rPr>
                <w:rFonts w:ascii="Century Gothic" w:hAnsi="Century Gothic" w:cs="Arial"/>
              </w:rPr>
              <w:t>p</w:t>
            </w:r>
            <w:r w:rsidRPr="008878A1">
              <w:rPr>
                <w:rFonts w:ascii="Century Gothic" w:hAnsi="Century Gothic" w:cs="Arial"/>
              </w:rPr>
              <w:t xml:space="preserve">rocedures – how to establish and run the process </w:t>
            </w:r>
          </w:p>
          <w:p w14:paraId="7E31EAD0" w14:textId="77777777" w:rsidR="009562F5" w:rsidRPr="008878A1" w:rsidRDefault="009562F5" w:rsidP="00871EE8">
            <w:pPr>
              <w:pStyle w:val="BodyText"/>
              <w:numPr>
                <w:ilvl w:val="0"/>
                <w:numId w:val="12"/>
              </w:numPr>
              <w:pBdr>
                <w:top w:val="nil"/>
                <w:left w:val="nil"/>
                <w:bottom w:val="nil"/>
                <w:right w:val="nil"/>
                <w:between w:val="nil"/>
              </w:pBdr>
              <w:spacing w:beforeLines="60" w:before="144" w:afterLines="60" w:after="144" w:line="240" w:lineRule="auto"/>
              <w:rPr>
                <w:rFonts w:ascii="Century Gothic" w:hAnsi="Century Gothic" w:cs="Arial"/>
              </w:rPr>
            </w:pPr>
            <w:r w:rsidRPr="008878A1">
              <w:rPr>
                <w:rFonts w:ascii="Century Gothic" w:hAnsi="Century Gothic" w:cs="Arial"/>
              </w:rPr>
              <w:t>The legal and regulatory framework for wheeling</w:t>
            </w:r>
          </w:p>
          <w:p w14:paraId="5C0A1BA1" w14:textId="4AAF9268" w:rsidR="009562F5" w:rsidRPr="008878A1" w:rsidRDefault="009562F5" w:rsidP="00871EE8">
            <w:pPr>
              <w:pStyle w:val="BodyText"/>
              <w:numPr>
                <w:ilvl w:val="0"/>
                <w:numId w:val="12"/>
              </w:numPr>
              <w:pBdr>
                <w:top w:val="nil"/>
                <w:left w:val="nil"/>
                <w:bottom w:val="nil"/>
                <w:right w:val="nil"/>
                <w:between w:val="nil"/>
              </w:pBdr>
              <w:spacing w:beforeLines="60" w:before="144" w:afterLines="60" w:after="144" w:line="240" w:lineRule="auto"/>
              <w:rPr>
                <w:rFonts w:ascii="Century Gothic" w:hAnsi="Century Gothic" w:cs="Arial"/>
              </w:rPr>
            </w:pPr>
            <w:r w:rsidRPr="008878A1">
              <w:rPr>
                <w:rFonts w:ascii="Century Gothic" w:hAnsi="Century Gothic" w:cs="Arial"/>
              </w:rPr>
              <w:t xml:space="preserve">Wheeling scenarios </w:t>
            </w:r>
          </w:p>
          <w:p w14:paraId="0AD2E940" w14:textId="77777777" w:rsidR="009562F5" w:rsidRPr="008878A1" w:rsidRDefault="009562F5" w:rsidP="00871EE8">
            <w:pPr>
              <w:pStyle w:val="BodyText"/>
              <w:numPr>
                <w:ilvl w:val="0"/>
                <w:numId w:val="12"/>
              </w:numPr>
              <w:pBdr>
                <w:top w:val="nil"/>
                <w:left w:val="nil"/>
                <w:bottom w:val="nil"/>
                <w:right w:val="nil"/>
                <w:between w:val="nil"/>
              </w:pBdr>
              <w:spacing w:beforeLines="60" w:before="144" w:afterLines="60" w:after="144" w:line="240" w:lineRule="auto"/>
              <w:rPr>
                <w:rFonts w:ascii="Century Gothic" w:hAnsi="Century Gothic" w:cs="Arial"/>
              </w:rPr>
            </w:pPr>
            <w:r w:rsidRPr="008878A1">
              <w:rPr>
                <w:rFonts w:ascii="Century Gothic" w:hAnsi="Century Gothic" w:cs="Arial"/>
              </w:rPr>
              <w:t>A technical overview of wheeling in the Municipality</w:t>
            </w:r>
          </w:p>
          <w:p w14:paraId="584AF618" w14:textId="77777777" w:rsidR="009562F5" w:rsidRPr="00E55368" w:rsidRDefault="009562F5" w:rsidP="00871EE8">
            <w:pPr>
              <w:pStyle w:val="BodyText"/>
              <w:numPr>
                <w:ilvl w:val="0"/>
                <w:numId w:val="12"/>
              </w:numPr>
              <w:pBdr>
                <w:top w:val="nil"/>
                <w:left w:val="nil"/>
                <w:bottom w:val="nil"/>
                <w:right w:val="nil"/>
                <w:between w:val="nil"/>
              </w:pBdr>
              <w:spacing w:beforeLines="60" w:before="144" w:afterLines="60" w:after="144" w:line="240" w:lineRule="auto"/>
              <w:rPr>
                <w:rFonts w:ascii="Century Gothic" w:hAnsi="Century Gothic"/>
                <w:color w:val="000000"/>
              </w:rPr>
            </w:pPr>
            <w:r w:rsidRPr="008878A1">
              <w:rPr>
                <w:rFonts w:ascii="Century Gothic" w:hAnsi="Century Gothic" w:cs="Arial"/>
              </w:rPr>
              <w:t>The Municipality’s Wheeling Requirements outlining how wheeling will be facilitated</w:t>
            </w:r>
          </w:p>
        </w:tc>
      </w:tr>
      <w:tr w:rsidR="009562F5" w:rsidRPr="00E55368" w14:paraId="2C20A5EE" w14:textId="77777777" w:rsidTr="00831A39">
        <w:tc>
          <w:tcPr>
            <w:tcW w:w="1560" w:type="dxa"/>
            <w:shd w:val="clear" w:color="auto" w:fill="31849B" w:themeFill="accent5" w:themeFillShade="BF"/>
          </w:tcPr>
          <w:p w14:paraId="16CE409F" w14:textId="05698BA5" w:rsidR="009562F5" w:rsidRPr="00C4302F" w:rsidRDefault="009562F5" w:rsidP="00F77BB4">
            <w:pPr>
              <w:pBdr>
                <w:top w:val="nil"/>
                <w:left w:val="nil"/>
                <w:bottom w:val="nil"/>
                <w:right w:val="nil"/>
                <w:between w:val="nil"/>
              </w:pBdr>
              <w:spacing w:after="0"/>
              <w:rPr>
                <w:rFonts w:ascii="Century Gothic" w:hAnsi="Century Gothic"/>
                <w:b/>
                <w:color w:val="FFFFFF" w:themeColor="background1"/>
                <w:sz w:val="24"/>
                <w:szCs w:val="24"/>
              </w:rPr>
            </w:pPr>
            <w:r w:rsidRPr="00C4302F">
              <w:rPr>
                <w:rFonts w:ascii="Century Gothic" w:hAnsi="Century Gothic"/>
                <w:b/>
                <w:color w:val="FFFFFF" w:themeColor="background1"/>
                <w:sz w:val="24"/>
                <w:szCs w:val="24"/>
              </w:rPr>
              <w:t>Who this document is for</w:t>
            </w:r>
          </w:p>
        </w:tc>
        <w:tc>
          <w:tcPr>
            <w:tcW w:w="8080" w:type="dxa"/>
            <w:shd w:val="clear" w:color="auto" w:fill="auto"/>
          </w:tcPr>
          <w:p w14:paraId="0191DB79" w14:textId="4458A68B" w:rsidR="009562F5" w:rsidRPr="00E55368" w:rsidRDefault="009562F5" w:rsidP="00F77BB4">
            <w:pPr>
              <w:pBdr>
                <w:top w:val="nil"/>
                <w:left w:val="nil"/>
                <w:bottom w:val="nil"/>
                <w:right w:val="nil"/>
                <w:between w:val="nil"/>
              </w:pBdr>
              <w:spacing w:after="0"/>
              <w:rPr>
                <w:rFonts w:ascii="Century Gothic" w:hAnsi="Century Gothic"/>
                <w:color w:val="000000"/>
              </w:rPr>
            </w:pPr>
            <w:r w:rsidRPr="00E55368">
              <w:rPr>
                <w:rFonts w:ascii="Century Gothic" w:hAnsi="Century Gothic"/>
                <w:color w:val="000000"/>
              </w:rPr>
              <w:t>This document will assist</w:t>
            </w:r>
            <w:r w:rsidR="001162DA">
              <w:rPr>
                <w:rFonts w:ascii="Century Gothic" w:hAnsi="Century Gothic"/>
                <w:color w:val="000000"/>
              </w:rPr>
              <w:t xml:space="preserve"> </w:t>
            </w:r>
            <w:r w:rsidR="00A56758">
              <w:rPr>
                <w:rFonts w:ascii="Century Gothic" w:hAnsi="Century Gothic"/>
                <w:color w:val="000000"/>
              </w:rPr>
              <w:t xml:space="preserve">The Municipality </w:t>
            </w:r>
            <w:r w:rsidR="001162DA" w:rsidRPr="001162DA">
              <w:rPr>
                <w:rFonts w:ascii="Century Gothic" w:hAnsi="Century Gothic"/>
                <w:color w:val="000000"/>
              </w:rPr>
              <w:t>involved in electricity distribution</w:t>
            </w:r>
            <w:r w:rsidR="00F243E0">
              <w:rPr>
                <w:rFonts w:ascii="Century Gothic" w:hAnsi="Century Gothic"/>
                <w:color w:val="000000"/>
              </w:rPr>
              <w:t xml:space="preserve"> and</w:t>
            </w:r>
            <w:r w:rsidRPr="00E55368">
              <w:rPr>
                <w:rFonts w:ascii="Century Gothic" w:hAnsi="Century Gothic"/>
                <w:color w:val="000000"/>
              </w:rPr>
              <w:t xml:space="preserve"> all relevant stakeholders involved in the conceptualization, development, installation, management and ownership of </w:t>
            </w:r>
            <w:r w:rsidR="001162DA">
              <w:rPr>
                <w:rFonts w:ascii="Century Gothic" w:hAnsi="Century Gothic"/>
                <w:color w:val="000000"/>
              </w:rPr>
              <w:t xml:space="preserve">the </w:t>
            </w:r>
            <w:r w:rsidR="002854A4">
              <w:rPr>
                <w:rFonts w:ascii="Century Gothic" w:hAnsi="Century Gothic"/>
                <w:color w:val="000000"/>
              </w:rPr>
              <w:t xml:space="preserve">third-party </w:t>
            </w:r>
            <w:r w:rsidRPr="00E55368">
              <w:rPr>
                <w:rFonts w:ascii="Century Gothic" w:hAnsi="Century Gothic"/>
                <w:color w:val="000000"/>
              </w:rPr>
              <w:t>wheeling</w:t>
            </w:r>
            <w:r w:rsidR="002854A4">
              <w:rPr>
                <w:rFonts w:ascii="Century Gothic" w:hAnsi="Century Gothic"/>
                <w:color w:val="000000"/>
              </w:rPr>
              <w:t xml:space="preserve"> process</w:t>
            </w:r>
            <w:r w:rsidRPr="00E55368">
              <w:rPr>
                <w:rFonts w:ascii="Century Gothic" w:hAnsi="Century Gothic"/>
                <w:color w:val="000000"/>
              </w:rPr>
              <w:t xml:space="preserve"> </w:t>
            </w:r>
            <w:r w:rsidR="001A6268">
              <w:rPr>
                <w:rFonts w:ascii="Century Gothic" w:hAnsi="Century Gothic"/>
                <w:color w:val="000000"/>
              </w:rPr>
              <w:t xml:space="preserve">and </w:t>
            </w:r>
            <w:r w:rsidRPr="00E55368">
              <w:rPr>
                <w:rFonts w:ascii="Century Gothic" w:hAnsi="Century Gothic"/>
                <w:color w:val="000000"/>
              </w:rPr>
              <w:t>systems</w:t>
            </w:r>
            <w:r w:rsidR="002854A4">
              <w:rPr>
                <w:rFonts w:ascii="Century Gothic" w:hAnsi="Century Gothic"/>
                <w:color w:val="000000"/>
              </w:rPr>
              <w:t xml:space="preserve">. Other relevant stakeholders </w:t>
            </w:r>
            <w:r w:rsidRPr="00E55368">
              <w:rPr>
                <w:rFonts w:ascii="Century Gothic" w:hAnsi="Century Gothic"/>
                <w:color w:val="000000"/>
              </w:rPr>
              <w:t>may include:</w:t>
            </w:r>
          </w:p>
          <w:p w14:paraId="539D5DEA" w14:textId="77777777" w:rsidR="009562F5" w:rsidRPr="008878A1" w:rsidRDefault="009562F5" w:rsidP="00871EE8">
            <w:pPr>
              <w:pStyle w:val="BodyText"/>
              <w:numPr>
                <w:ilvl w:val="0"/>
                <w:numId w:val="12"/>
              </w:numPr>
              <w:pBdr>
                <w:top w:val="nil"/>
                <w:left w:val="nil"/>
                <w:bottom w:val="nil"/>
                <w:right w:val="nil"/>
                <w:between w:val="nil"/>
              </w:pBdr>
              <w:spacing w:beforeLines="60" w:before="144" w:afterLines="60" w:after="144" w:line="240" w:lineRule="auto"/>
              <w:rPr>
                <w:rFonts w:ascii="Century Gothic" w:hAnsi="Century Gothic" w:cs="Arial"/>
              </w:rPr>
            </w:pPr>
            <w:r w:rsidRPr="008878A1">
              <w:rPr>
                <w:rFonts w:ascii="Century Gothic" w:hAnsi="Century Gothic" w:cs="Arial"/>
              </w:rPr>
              <w:t xml:space="preserve">Wheeling project developers </w:t>
            </w:r>
          </w:p>
          <w:p w14:paraId="5728B33F" w14:textId="77777777" w:rsidR="009562F5" w:rsidRPr="008878A1" w:rsidRDefault="009562F5" w:rsidP="00871EE8">
            <w:pPr>
              <w:pStyle w:val="BodyText"/>
              <w:numPr>
                <w:ilvl w:val="0"/>
                <w:numId w:val="12"/>
              </w:numPr>
              <w:pBdr>
                <w:top w:val="nil"/>
                <w:left w:val="nil"/>
                <w:bottom w:val="nil"/>
                <w:right w:val="nil"/>
                <w:between w:val="nil"/>
              </w:pBdr>
              <w:spacing w:beforeLines="60" w:before="144" w:afterLines="60" w:after="144" w:line="240" w:lineRule="auto"/>
              <w:rPr>
                <w:rFonts w:ascii="Century Gothic" w:hAnsi="Century Gothic" w:cs="Arial"/>
              </w:rPr>
            </w:pPr>
            <w:r w:rsidRPr="008878A1">
              <w:rPr>
                <w:rFonts w:ascii="Century Gothic" w:hAnsi="Century Gothic" w:cs="Arial"/>
              </w:rPr>
              <w:t>Large power users considering wheeling</w:t>
            </w:r>
          </w:p>
          <w:p w14:paraId="4F716A00" w14:textId="77777777" w:rsidR="009562F5" w:rsidRPr="008878A1" w:rsidRDefault="009562F5" w:rsidP="00871EE8">
            <w:pPr>
              <w:pStyle w:val="BodyText"/>
              <w:numPr>
                <w:ilvl w:val="0"/>
                <w:numId w:val="12"/>
              </w:numPr>
              <w:pBdr>
                <w:top w:val="nil"/>
                <w:left w:val="nil"/>
                <w:bottom w:val="nil"/>
                <w:right w:val="nil"/>
                <w:between w:val="nil"/>
              </w:pBdr>
              <w:spacing w:beforeLines="60" w:before="144" w:afterLines="60" w:after="144" w:line="240" w:lineRule="auto"/>
              <w:rPr>
                <w:rFonts w:ascii="Century Gothic" w:hAnsi="Century Gothic" w:cs="Arial"/>
              </w:rPr>
            </w:pPr>
            <w:r w:rsidRPr="008878A1">
              <w:rPr>
                <w:rFonts w:ascii="Century Gothic" w:hAnsi="Century Gothic" w:cs="Arial"/>
              </w:rPr>
              <w:t xml:space="preserve">Energy consultants commissioned to design wheeling systems </w:t>
            </w:r>
          </w:p>
          <w:p w14:paraId="0C080E7E" w14:textId="4C907A25" w:rsidR="009562F5" w:rsidRPr="00E55368" w:rsidRDefault="00C15821" w:rsidP="00871EE8">
            <w:pPr>
              <w:pStyle w:val="BodyText"/>
              <w:numPr>
                <w:ilvl w:val="0"/>
                <w:numId w:val="12"/>
              </w:numPr>
              <w:pBdr>
                <w:top w:val="nil"/>
                <w:left w:val="nil"/>
                <w:bottom w:val="nil"/>
                <w:right w:val="nil"/>
                <w:between w:val="nil"/>
              </w:pBdr>
              <w:spacing w:beforeLines="60" w:before="144" w:afterLines="60" w:after="144" w:line="240" w:lineRule="auto"/>
              <w:rPr>
                <w:rFonts w:ascii="Century Gothic" w:hAnsi="Century Gothic"/>
                <w:color w:val="000000"/>
              </w:rPr>
            </w:pPr>
            <w:r w:rsidRPr="008878A1">
              <w:rPr>
                <w:rFonts w:ascii="Century Gothic" w:hAnsi="Century Gothic" w:cs="Arial"/>
              </w:rPr>
              <w:t>Electricity</w:t>
            </w:r>
            <w:r w:rsidR="001A6268" w:rsidRPr="008878A1">
              <w:rPr>
                <w:rFonts w:ascii="Century Gothic" w:hAnsi="Century Gothic" w:cs="Arial"/>
              </w:rPr>
              <w:t xml:space="preserve"> t</w:t>
            </w:r>
            <w:r w:rsidR="009562F5" w:rsidRPr="008878A1">
              <w:rPr>
                <w:rFonts w:ascii="Century Gothic" w:hAnsi="Century Gothic" w:cs="Arial"/>
              </w:rPr>
              <w:t>raders and wholesale buyers</w:t>
            </w:r>
          </w:p>
        </w:tc>
      </w:tr>
      <w:tr w:rsidR="009562F5" w:rsidRPr="00E55368" w14:paraId="27E83597" w14:textId="77777777" w:rsidTr="00831A39">
        <w:tc>
          <w:tcPr>
            <w:tcW w:w="1560" w:type="dxa"/>
            <w:shd w:val="clear" w:color="auto" w:fill="31849B" w:themeFill="accent5" w:themeFillShade="BF"/>
          </w:tcPr>
          <w:p w14:paraId="7B8A711A" w14:textId="54C6E5A0" w:rsidR="009562F5" w:rsidRPr="00C4302F" w:rsidRDefault="003737D1" w:rsidP="00F77BB4">
            <w:pPr>
              <w:pBdr>
                <w:top w:val="nil"/>
                <w:left w:val="nil"/>
                <w:bottom w:val="nil"/>
                <w:right w:val="nil"/>
                <w:between w:val="nil"/>
              </w:pBdr>
              <w:spacing w:after="0"/>
              <w:rPr>
                <w:rFonts w:ascii="Century Gothic" w:hAnsi="Century Gothic"/>
                <w:b/>
                <w:color w:val="FFFFFF" w:themeColor="background1"/>
                <w:sz w:val="24"/>
                <w:szCs w:val="24"/>
              </w:rPr>
            </w:pPr>
            <w:r>
              <w:rPr>
                <w:rFonts w:ascii="Century Gothic" w:hAnsi="Century Gothic"/>
                <w:b/>
                <w:color w:val="FFFFFF" w:themeColor="background1"/>
                <w:sz w:val="24"/>
                <w:szCs w:val="24"/>
              </w:rPr>
              <w:t xml:space="preserve">Steps </w:t>
            </w:r>
            <w:r w:rsidR="001A75B2">
              <w:rPr>
                <w:rFonts w:ascii="Century Gothic" w:hAnsi="Century Gothic"/>
                <w:b/>
                <w:color w:val="FFFFFF" w:themeColor="background1"/>
                <w:sz w:val="24"/>
                <w:szCs w:val="24"/>
              </w:rPr>
              <w:t>for a</w:t>
            </w:r>
            <w:r>
              <w:rPr>
                <w:rFonts w:ascii="Century Gothic" w:hAnsi="Century Gothic"/>
                <w:b/>
                <w:color w:val="FFFFFF" w:themeColor="background1"/>
                <w:sz w:val="24"/>
                <w:szCs w:val="24"/>
              </w:rPr>
              <w:t xml:space="preserve"> municipality </w:t>
            </w:r>
            <w:r w:rsidR="001A75B2">
              <w:rPr>
                <w:rFonts w:ascii="Century Gothic" w:hAnsi="Century Gothic"/>
                <w:b/>
                <w:color w:val="FFFFFF" w:themeColor="background1"/>
                <w:sz w:val="24"/>
                <w:szCs w:val="24"/>
              </w:rPr>
              <w:t>to</w:t>
            </w:r>
            <w:r w:rsidR="002523D9">
              <w:rPr>
                <w:rFonts w:ascii="Century Gothic" w:hAnsi="Century Gothic"/>
                <w:b/>
                <w:color w:val="FFFFFF" w:themeColor="background1"/>
                <w:sz w:val="24"/>
                <w:szCs w:val="24"/>
              </w:rPr>
              <w:t xml:space="preserve"> take to </w:t>
            </w:r>
            <w:r w:rsidR="00253745">
              <w:rPr>
                <w:rFonts w:ascii="Century Gothic" w:hAnsi="Century Gothic"/>
                <w:b/>
                <w:color w:val="FFFFFF" w:themeColor="background1"/>
                <w:sz w:val="24"/>
                <w:szCs w:val="24"/>
              </w:rPr>
              <w:t>establish &amp;</w:t>
            </w:r>
            <w:r w:rsidR="00F10170">
              <w:rPr>
                <w:rFonts w:ascii="Century Gothic" w:hAnsi="Century Gothic"/>
                <w:b/>
                <w:color w:val="FFFFFF" w:themeColor="background1"/>
                <w:sz w:val="24"/>
                <w:szCs w:val="24"/>
              </w:rPr>
              <w:t xml:space="preserve"> </w:t>
            </w:r>
            <w:r w:rsidR="00E03BB2">
              <w:rPr>
                <w:rFonts w:ascii="Century Gothic" w:hAnsi="Century Gothic"/>
                <w:b/>
                <w:color w:val="FFFFFF" w:themeColor="background1"/>
                <w:sz w:val="24"/>
                <w:szCs w:val="24"/>
              </w:rPr>
              <w:t>operate third</w:t>
            </w:r>
            <w:r w:rsidR="00F10170">
              <w:rPr>
                <w:rFonts w:ascii="Century Gothic" w:hAnsi="Century Gothic"/>
                <w:b/>
                <w:color w:val="FFFFFF" w:themeColor="background1"/>
                <w:sz w:val="24"/>
                <w:szCs w:val="24"/>
              </w:rPr>
              <w:t>-</w:t>
            </w:r>
            <w:r w:rsidR="00E03BB2">
              <w:rPr>
                <w:rFonts w:ascii="Century Gothic" w:hAnsi="Century Gothic"/>
                <w:b/>
                <w:color w:val="FFFFFF" w:themeColor="background1"/>
                <w:sz w:val="24"/>
                <w:szCs w:val="24"/>
              </w:rPr>
              <w:t>part</w:t>
            </w:r>
            <w:r w:rsidR="00F10170">
              <w:rPr>
                <w:rFonts w:ascii="Century Gothic" w:hAnsi="Century Gothic"/>
                <w:b/>
                <w:color w:val="FFFFFF" w:themeColor="background1"/>
                <w:sz w:val="24"/>
                <w:szCs w:val="24"/>
              </w:rPr>
              <w:t>y</w:t>
            </w:r>
            <w:r w:rsidR="002523D9">
              <w:rPr>
                <w:rFonts w:ascii="Century Gothic" w:hAnsi="Century Gothic"/>
                <w:b/>
                <w:color w:val="FFFFFF" w:themeColor="background1"/>
                <w:sz w:val="24"/>
                <w:szCs w:val="24"/>
              </w:rPr>
              <w:t xml:space="preserve"> </w:t>
            </w:r>
            <w:r w:rsidR="001A75B2">
              <w:rPr>
                <w:rFonts w:ascii="Century Gothic" w:hAnsi="Century Gothic"/>
                <w:b/>
                <w:color w:val="FFFFFF" w:themeColor="background1"/>
                <w:sz w:val="24"/>
                <w:szCs w:val="24"/>
              </w:rPr>
              <w:t xml:space="preserve">energy </w:t>
            </w:r>
            <w:r w:rsidR="002523D9">
              <w:rPr>
                <w:rFonts w:ascii="Century Gothic" w:hAnsi="Century Gothic"/>
                <w:b/>
                <w:color w:val="FFFFFF" w:themeColor="background1"/>
                <w:sz w:val="24"/>
                <w:szCs w:val="24"/>
              </w:rPr>
              <w:t>wheeling</w:t>
            </w:r>
          </w:p>
        </w:tc>
        <w:tc>
          <w:tcPr>
            <w:tcW w:w="8080" w:type="dxa"/>
            <w:shd w:val="clear" w:color="auto" w:fill="auto"/>
          </w:tcPr>
          <w:p w14:paraId="5560C268" w14:textId="5141FC77" w:rsidR="005D5AD2" w:rsidRDefault="00B9487C" w:rsidP="00E03BB2">
            <w:pPr>
              <w:pStyle w:val="BodyText"/>
              <w:spacing w:beforeLines="60" w:before="144" w:afterLines="60" w:after="144" w:line="240" w:lineRule="auto"/>
              <w:rPr>
                <w:rFonts w:ascii="Century Gothic" w:hAnsi="Century Gothic" w:cs="Arial"/>
                <w:b/>
              </w:rPr>
            </w:pPr>
            <w:r>
              <w:rPr>
                <w:rFonts w:ascii="Century Gothic" w:hAnsi="Century Gothic" w:cs="Arial"/>
                <w:b/>
                <w:noProof/>
              </w:rPr>
              <w:drawing>
                <wp:inline distT="0" distB="0" distL="0" distR="0" wp14:anchorId="1E35199A" wp14:editId="629D425A">
                  <wp:extent cx="4895132" cy="1298772"/>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70392" cy="1318740"/>
                          </a:xfrm>
                          <a:prstGeom prst="rect">
                            <a:avLst/>
                          </a:prstGeom>
                          <a:noFill/>
                        </pic:spPr>
                      </pic:pic>
                    </a:graphicData>
                  </a:graphic>
                </wp:inline>
              </w:drawing>
            </w:r>
          </w:p>
          <w:p w14:paraId="0921E3E4" w14:textId="212F925E" w:rsidR="009562F5" w:rsidRPr="00AA302E" w:rsidRDefault="00097E29" w:rsidP="00E03BB2">
            <w:pPr>
              <w:pStyle w:val="BodyText"/>
              <w:spacing w:beforeLines="60" w:before="144" w:afterLines="60" w:after="144" w:line="240" w:lineRule="auto"/>
              <w:rPr>
                <w:rFonts w:ascii="Century Gothic" w:hAnsi="Century Gothic" w:cs="Arial"/>
                <w:b/>
              </w:rPr>
            </w:pPr>
            <w:r w:rsidRPr="00AA302E">
              <w:rPr>
                <w:rFonts w:ascii="Century Gothic" w:hAnsi="Century Gothic" w:cs="Arial"/>
                <w:b/>
              </w:rPr>
              <w:t xml:space="preserve">Step 1: </w:t>
            </w:r>
            <w:r w:rsidR="001F7EF9" w:rsidRPr="00AA302E">
              <w:rPr>
                <w:rFonts w:ascii="Century Gothic" w:hAnsi="Century Gothic" w:cs="Arial"/>
                <w:b/>
              </w:rPr>
              <w:t xml:space="preserve">Conduct </w:t>
            </w:r>
            <w:r w:rsidR="00D85978">
              <w:rPr>
                <w:rFonts w:ascii="Century Gothic" w:hAnsi="Century Gothic" w:cs="Arial"/>
                <w:b/>
              </w:rPr>
              <w:t xml:space="preserve">internal </w:t>
            </w:r>
            <w:r w:rsidR="009562F5" w:rsidRPr="00AA302E">
              <w:rPr>
                <w:rFonts w:ascii="Century Gothic" w:hAnsi="Century Gothic" w:cs="Arial"/>
                <w:b/>
              </w:rPr>
              <w:t>workshop</w:t>
            </w:r>
            <w:r w:rsidR="00D85978">
              <w:rPr>
                <w:rFonts w:ascii="Century Gothic" w:hAnsi="Century Gothic" w:cs="Arial"/>
                <w:b/>
              </w:rPr>
              <w:t>/s</w:t>
            </w:r>
            <w:r w:rsidR="00F17CC8">
              <w:rPr>
                <w:rFonts w:ascii="Century Gothic" w:hAnsi="Century Gothic" w:cs="Arial"/>
                <w:b/>
              </w:rPr>
              <w:t xml:space="preserve"> and get staff buy in</w:t>
            </w:r>
            <w:r w:rsidR="009562F5" w:rsidRPr="00AA302E">
              <w:rPr>
                <w:rFonts w:ascii="Century Gothic" w:hAnsi="Century Gothic" w:cs="Arial"/>
                <w:b/>
              </w:rPr>
              <w:t xml:space="preserve">: </w:t>
            </w:r>
          </w:p>
          <w:p w14:paraId="7430559A" w14:textId="387630A7" w:rsidR="009562F5" w:rsidRPr="00AA302E" w:rsidRDefault="009562F5" w:rsidP="00E03BB2">
            <w:pPr>
              <w:pStyle w:val="BodyText"/>
              <w:spacing w:beforeLines="60" w:before="144" w:afterLines="60" w:after="144" w:line="240" w:lineRule="auto"/>
              <w:rPr>
                <w:rFonts w:ascii="Century Gothic" w:hAnsi="Century Gothic" w:cs="Arial"/>
              </w:rPr>
            </w:pPr>
            <w:r w:rsidRPr="00AA302E">
              <w:rPr>
                <w:rFonts w:ascii="Century Gothic" w:hAnsi="Century Gothic" w:cs="Arial"/>
              </w:rPr>
              <w:t>This involves bringing together key stakeholders to brainstorm and plan for the establishment of a wheeling service. The workshop may include representatives from the legal, finance, and electricity departments, as well as other relevant departments or stakeholders.</w:t>
            </w:r>
            <w:r w:rsidR="00036DF5" w:rsidRPr="00AA302E">
              <w:rPr>
                <w:rFonts w:ascii="Century Gothic" w:hAnsi="Century Gothic" w:cs="Arial"/>
              </w:rPr>
              <w:t xml:space="preserve"> The key stakeholders may inc</w:t>
            </w:r>
            <w:r w:rsidR="00CC5515" w:rsidRPr="00AA302E">
              <w:rPr>
                <w:rFonts w:ascii="Century Gothic" w:hAnsi="Century Gothic" w:cs="Arial"/>
              </w:rPr>
              <w:t>lude</w:t>
            </w:r>
            <w:r w:rsidR="0042585A">
              <w:rPr>
                <w:rFonts w:ascii="Century Gothic" w:hAnsi="Century Gothic" w:cs="Arial"/>
              </w:rPr>
              <w:t>:</w:t>
            </w:r>
          </w:p>
          <w:p w14:paraId="48BFE4DD" w14:textId="43752CC0" w:rsidR="00E03BB2" w:rsidRPr="00E03BB2" w:rsidRDefault="00E03BB2" w:rsidP="00871EE8">
            <w:pPr>
              <w:pStyle w:val="BodyText"/>
              <w:numPr>
                <w:ilvl w:val="0"/>
                <w:numId w:val="12"/>
              </w:numPr>
              <w:spacing w:beforeLines="60" w:before="144" w:afterLines="60" w:after="144" w:line="240" w:lineRule="auto"/>
              <w:rPr>
                <w:rFonts w:ascii="Century Gothic" w:hAnsi="Century Gothic" w:cs="Arial"/>
              </w:rPr>
            </w:pPr>
            <w:r w:rsidRPr="00E03BB2">
              <w:rPr>
                <w:rFonts w:ascii="Century Gothic" w:hAnsi="Century Gothic" w:cs="Arial"/>
              </w:rPr>
              <w:t xml:space="preserve">Legal Department: This department is responsible for ensuring that all legal requirements are met. They should provide guidance on compliance with relevant legislation and regulations pertaining to energy wheeling. They will be involved in drafting contracts and agreements, ensuring that all </w:t>
            </w:r>
            <w:r w:rsidRPr="00E03BB2">
              <w:rPr>
                <w:rFonts w:ascii="Century Gothic" w:hAnsi="Century Gothic" w:cs="Arial"/>
              </w:rPr>
              <w:lastRenderedPageBreak/>
              <w:t xml:space="preserve">parties involved in the wheeling service are protected legally, and </w:t>
            </w:r>
            <w:r w:rsidR="005637DC">
              <w:rPr>
                <w:rFonts w:ascii="Century Gothic" w:hAnsi="Century Gothic" w:cs="Arial"/>
              </w:rPr>
              <w:t xml:space="preserve">in </w:t>
            </w:r>
            <w:r w:rsidRPr="00E03BB2">
              <w:rPr>
                <w:rFonts w:ascii="Century Gothic" w:hAnsi="Century Gothic" w:cs="Arial"/>
              </w:rPr>
              <w:t>addressing any legal issues that may arise during the process.</w:t>
            </w:r>
          </w:p>
          <w:p w14:paraId="04BBCE73" w14:textId="77777777" w:rsidR="00E03BB2" w:rsidRPr="00E03BB2" w:rsidRDefault="00E03BB2" w:rsidP="00871EE8">
            <w:pPr>
              <w:pStyle w:val="BodyText"/>
              <w:numPr>
                <w:ilvl w:val="0"/>
                <w:numId w:val="12"/>
              </w:numPr>
              <w:spacing w:beforeLines="60" w:before="144" w:afterLines="60" w:after="144" w:line="240" w:lineRule="auto"/>
              <w:rPr>
                <w:rFonts w:ascii="Century Gothic" w:hAnsi="Century Gothic" w:cs="Arial"/>
              </w:rPr>
            </w:pPr>
            <w:r w:rsidRPr="00E03BB2">
              <w:rPr>
                <w:rFonts w:ascii="Century Gothic" w:hAnsi="Century Gothic" w:cs="Arial"/>
              </w:rPr>
              <w:t>Finance Department: The finance department plays a crucial role in the financial planning and budgeting aspects of establishing and operating a wheeling service. They will work on determining the appropriate tariffs and compensation agreements for wheeling services. They will assess the financial feasibility of the project, including costs associated with infrastructure, maintenance, and administration, and propose funding mechanisms to support the initiative.</w:t>
            </w:r>
          </w:p>
          <w:p w14:paraId="33EBD54A" w14:textId="77777777" w:rsidR="00E03BB2" w:rsidRDefault="00E03BB2" w:rsidP="00871EE8">
            <w:pPr>
              <w:pStyle w:val="BodyText"/>
              <w:numPr>
                <w:ilvl w:val="0"/>
                <w:numId w:val="12"/>
              </w:numPr>
              <w:spacing w:beforeLines="60" w:before="144" w:afterLines="60" w:after="144" w:line="240" w:lineRule="auto"/>
              <w:rPr>
                <w:rFonts w:ascii="Century Gothic" w:hAnsi="Century Gothic" w:cs="Arial"/>
              </w:rPr>
            </w:pPr>
            <w:r w:rsidRPr="00E03BB2">
              <w:rPr>
                <w:rFonts w:ascii="Century Gothic" w:hAnsi="Century Gothic" w:cs="Arial"/>
              </w:rPr>
              <w:t>Electricity Department: The electricity department is responsible for the technical aspects of the wheeling service. They will oversee the interconnection process, ensuring that the necessary infrastructure and equipment are in place for the transmission and distribution of electricity. They will also ensure compliance with electrical safety standards and address quality of supply requirements to ensure reliable and efficient energy wheeling.</w:t>
            </w:r>
          </w:p>
          <w:p w14:paraId="3741B4E0" w14:textId="77777777" w:rsidR="00810B3C" w:rsidRDefault="00810B3C" w:rsidP="00871EE8">
            <w:pPr>
              <w:pStyle w:val="BodyText"/>
              <w:numPr>
                <w:ilvl w:val="0"/>
                <w:numId w:val="12"/>
              </w:numPr>
              <w:spacing w:beforeLines="60" w:before="144" w:afterLines="60" w:after="144" w:line="240" w:lineRule="auto"/>
              <w:rPr>
                <w:rFonts w:ascii="Century Gothic" w:hAnsi="Century Gothic" w:cs="Arial"/>
              </w:rPr>
            </w:pPr>
            <w:r w:rsidRPr="00810B3C">
              <w:rPr>
                <w:rFonts w:ascii="Century Gothic" w:hAnsi="Century Gothic" w:cs="Arial"/>
              </w:rPr>
              <w:t>Metering Division / Section: This division or section assumes a pivotal role in facilitating energy accounting and seamless transactions within the wheeling framework. Its responsibilities encompass the meticulous implementation and management of Advanced Metering Infrastructure (AMI), specifically the deployment of Advanced Meter Reading (AMR) 4 Quadrant meters. These sophisticated meters are instrumental in capturing bidirectional energy flows, recording both import and export of electricity accurately.</w:t>
            </w:r>
          </w:p>
          <w:p w14:paraId="13DD050A" w14:textId="6D092856" w:rsidR="0026383B" w:rsidRDefault="0026383B" w:rsidP="00871EE8">
            <w:pPr>
              <w:pStyle w:val="BodyText"/>
              <w:numPr>
                <w:ilvl w:val="0"/>
                <w:numId w:val="12"/>
              </w:numPr>
              <w:spacing w:beforeLines="60" w:before="144" w:afterLines="60" w:after="144" w:line="240" w:lineRule="auto"/>
              <w:rPr>
                <w:rFonts w:ascii="Century Gothic" w:hAnsi="Century Gothic" w:cs="Arial"/>
              </w:rPr>
            </w:pPr>
            <w:r w:rsidRPr="0026383B">
              <w:rPr>
                <w:rFonts w:ascii="Century Gothic" w:hAnsi="Century Gothic" w:cs="Arial"/>
              </w:rPr>
              <w:t>IT Department: The IT department plays a critical role in enabling the technological backbone of energy wheeling. They develop and manage the</w:t>
            </w:r>
            <w:r>
              <w:rPr>
                <w:rFonts w:ascii="Century Gothic" w:hAnsi="Century Gothic" w:cs="Arial"/>
              </w:rPr>
              <w:t xml:space="preserve"> billing systems and</w:t>
            </w:r>
            <w:r w:rsidRPr="0026383B">
              <w:rPr>
                <w:rFonts w:ascii="Century Gothic" w:hAnsi="Century Gothic" w:cs="Arial"/>
              </w:rPr>
              <w:t xml:space="preserve"> digital infrastructure required for real-time data exchange, communication between energy generators and consumers, and the secure transfer of energy consumption and billing information. Their responsibilities include maintaining data security, system reliability, and facilitating seamless data exchange among all involved parties.</w:t>
            </w:r>
          </w:p>
          <w:p w14:paraId="7962449B" w14:textId="5572FC31" w:rsidR="00E03BB2" w:rsidRPr="00E03BB2" w:rsidRDefault="00E03BB2" w:rsidP="00871EE8">
            <w:pPr>
              <w:pStyle w:val="BodyText"/>
              <w:numPr>
                <w:ilvl w:val="0"/>
                <w:numId w:val="12"/>
              </w:numPr>
              <w:spacing w:beforeLines="60" w:before="144" w:afterLines="60" w:after="144" w:line="240" w:lineRule="auto"/>
              <w:rPr>
                <w:rFonts w:ascii="Century Gothic" w:hAnsi="Century Gothic" w:cs="Arial"/>
              </w:rPr>
            </w:pPr>
            <w:r w:rsidRPr="00E03BB2">
              <w:rPr>
                <w:rFonts w:ascii="Century Gothic" w:hAnsi="Century Gothic" w:cs="Arial"/>
              </w:rPr>
              <w:t>Economic Development Department: The economic development department plays a crucial role in assessing the potential benefits of energy wheeling for the municipality. They will analyse the economic impact, job creation potential, and overall development prospects associated with the establishment of a wheeling service. They will work on developing strategies to attract and retain businesses, promote investment, and foster sustainable economic growth through the availability of reliable and affordable electricity.</w:t>
            </w:r>
          </w:p>
          <w:p w14:paraId="4C3C4C23" w14:textId="0FC2BBD5" w:rsidR="009562F5" w:rsidRPr="00AA302E" w:rsidRDefault="00097E29" w:rsidP="00E03BB2">
            <w:pPr>
              <w:pStyle w:val="BodyText"/>
              <w:spacing w:beforeLines="60" w:before="144" w:afterLines="60" w:after="144" w:line="240" w:lineRule="auto"/>
              <w:rPr>
                <w:rFonts w:ascii="Century Gothic" w:hAnsi="Century Gothic" w:cs="Arial"/>
              </w:rPr>
            </w:pPr>
            <w:r w:rsidRPr="00AA302E">
              <w:rPr>
                <w:rFonts w:ascii="Century Gothic" w:hAnsi="Century Gothic" w:cs="Arial"/>
                <w:b/>
              </w:rPr>
              <w:t xml:space="preserve">Step 2: </w:t>
            </w:r>
            <w:r w:rsidR="00A32F23" w:rsidRPr="00AA302E">
              <w:rPr>
                <w:rFonts w:ascii="Century Gothic" w:hAnsi="Century Gothic" w:cs="Arial"/>
                <w:b/>
              </w:rPr>
              <w:t xml:space="preserve">Develop </w:t>
            </w:r>
            <w:r w:rsidR="001E2BC0" w:rsidRPr="00AA302E">
              <w:rPr>
                <w:rFonts w:ascii="Century Gothic" w:hAnsi="Century Gothic" w:cs="Arial"/>
                <w:b/>
              </w:rPr>
              <w:t>the</w:t>
            </w:r>
            <w:r w:rsidR="009562F5" w:rsidRPr="00AA302E">
              <w:rPr>
                <w:rFonts w:ascii="Century Gothic" w:hAnsi="Century Gothic" w:cs="Arial"/>
                <w:b/>
              </w:rPr>
              <w:t xml:space="preserve"> </w:t>
            </w:r>
            <w:r w:rsidR="008E7BED" w:rsidRPr="00AA302E">
              <w:rPr>
                <w:rFonts w:ascii="Century Gothic" w:hAnsi="Century Gothic" w:cs="Arial"/>
                <w:b/>
              </w:rPr>
              <w:t>w</w:t>
            </w:r>
            <w:r w:rsidR="009562F5" w:rsidRPr="00AA302E">
              <w:rPr>
                <w:rFonts w:ascii="Century Gothic" w:hAnsi="Century Gothic" w:cs="Arial"/>
                <w:b/>
              </w:rPr>
              <w:t xml:space="preserve">heeling </w:t>
            </w:r>
            <w:r w:rsidR="00C040B5">
              <w:rPr>
                <w:rFonts w:ascii="Century Gothic" w:hAnsi="Century Gothic" w:cs="Arial"/>
                <w:b/>
              </w:rPr>
              <w:t xml:space="preserve">tariffs, </w:t>
            </w:r>
            <w:r w:rsidR="008E7BED" w:rsidRPr="00AA302E">
              <w:rPr>
                <w:rFonts w:ascii="Century Gothic" w:hAnsi="Century Gothic" w:cs="Arial"/>
                <w:b/>
              </w:rPr>
              <w:t xml:space="preserve">service </w:t>
            </w:r>
            <w:r w:rsidR="009562F5" w:rsidRPr="00AA302E">
              <w:rPr>
                <w:rFonts w:ascii="Century Gothic" w:hAnsi="Century Gothic" w:cs="Arial"/>
                <w:b/>
              </w:rPr>
              <w:t>guidelines</w:t>
            </w:r>
            <w:r w:rsidR="008E7BED" w:rsidRPr="00AA302E">
              <w:rPr>
                <w:rFonts w:ascii="Century Gothic" w:hAnsi="Century Gothic" w:cs="Arial"/>
                <w:b/>
              </w:rPr>
              <w:t xml:space="preserve"> and processes</w:t>
            </w:r>
            <w:r w:rsidR="009562F5" w:rsidRPr="00AA302E">
              <w:rPr>
                <w:rFonts w:ascii="Century Gothic" w:hAnsi="Century Gothic" w:cs="Arial"/>
                <w:b/>
              </w:rPr>
              <w:t>:</w:t>
            </w:r>
          </w:p>
          <w:p w14:paraId="31B190C0" w14:textId="7D27051F" w:rsidR="009562F5" w:rsidRPr="00AA302E" w:rsidRDefault="009562F5" w:rsidP="00E03BB2">
            <w:pPr>
              <w:pStyle w:val="BodyText"/>
              <w:spacing w:beforeLines="60" w:before="144" w:afterLines="60" w:after="144" w:line="240" w:lineRule="auto"/>
              <w:rPr>
                <w:rFonts w:ascii="Century Gothic" w:hAnsi="Century Gothic" w:cs="Arial"/>
              </w:rPr>
            </w:pPr>
            <w:r w:rsidRPr="00AA302E">
              <w:rPr>
                <w:rFonts w:ascii="Century Gothic" w:hAnsi="Century Gothic" w:cs="Arial"/>
              </w:rPr>
              <w:t>This step involves defining the guidelines for the wheeling service, including the scope of the service, the requirements for participation, the procedures for application and approval, and the technical requirements.</w:t>
            </w:r>
            <w:r w:rsidR="00761CD0" w:rsidRPr="00AA302E">
              <w:rPr>
                <w:rFonts w:ascii="Century Gothic" w:hAnsi="Century Gothic" w:cs="Arial"/>
              </w:rPr>
              <w:t xml:space="preserve"> T</w:t>
            </w:r>
            <w:r w:rsidRPr="00AA302E">
              <w:rPr>
                <w:rFonts w:ascii="Century Gothic" w:hAnsi="Century Gothic" w:cs="Arial"/>
              </w:rPr>
              <w:t>he following processes</w:t>
            </w:r>
            <w:r w:rsidR="00761CD0" w:rsidRPr="00AA302E">
              <w:rPr>
                <w:rFonts w:ascii="Century Gothic" w:hAnsi="Century Gothic" w:cs="Arial"/>
              </w:rPr>
              <w:t xml:space="preserve"> need to be developed</w:t>
            </w:r>
            <w:r w:rsidRPr="00AA302E">
              <w:rPr>
                <w:rFonts w:ascii="Century Gothic" w:hAnsi="Century Gothic" w:cs="Arial"/>
              </w:rPr>
              <w:t>:</w:t>
            </w:r>
          </w:p>
          <w:p w14:paraId="4FC7F8AC" w14:textId="47672264" w:rsidR="0038585D" w:rsidRDefault="66F75F03" w:rsidP="00871EE8">
            <w:pPr>
              <w:pStyle w:val="BodyText"/>
              <w:numPr>
                <w:ilvl w:val="0"/>
                <w:numId w:val="21"/>
              </w:numPr>
              <w:spacing w:beforeLines="60" w:before="144" w:afterLines="60" w:after="144" w:line="240" w:lineRule="auto"/>
              <w:rPr>
                <w:rFonts w:ascii="Century Gothic" w:hAnsi="Century Gothic" w:cs="Arial"/>
              </w:rPr>
            </w:pPr>
            <w:r w:rsidRPr="00AA302E">
              <w:rPr>
                <w:rFonts w:ascii="Century Gothic" w:hAnsi="Century Gothic" w:cs="Arial"/>
              </w:rPr>
              <w:t xml:space="preserve">Cost of </w:t>
            </w:r>
            <w:r w:rsidR="00E9138E">
              <w:rPr>
                <w:rFonts w:ascii="Century Gothic" w:hAnsi="Century Gothic" w:cs="Arial"/>
              </w:rPr>
              <w:t>s</w:t>
            </w:r>
            <w:r w:rsidRPr="00AA302E">
              <w:rPr>
                <w:rFonts w:ascii="Century Gothic" w:hAnsi="Century Gothic" w:cs="Arial"/>
              </w:rPr>
              <w:t>upply study and unbundling tariff</w:t>
            </w:r>
            <w:r w:rsidR="00683311">
              <w:rPr>
                <w:rFonts w:ascii="Century Gothic" w:hAnsi="Century Gothic" w:cs="Arial"/>
              </w:rPr>
              <w:t xml:space="preserve">: </w:t>
            </w:r>
            <w:r w:rsidR="00A56758">
              <w:rPr>
                <w:rFonts w:ascii="Century Gothic" w:hAnsi="Century Gothic" w:cs="Arial"/>
              </w:rPr>
              <w:t xml:space="preserve">The Municipality </w:t>
            </w:r>
            <w:r w:rsidR="00F532E0" w:rsidRPr="00F532E0">
              <w:rPr>
                <w:rFonts w:ascii="Century Gothic" w:hAnsi="Century Gothic" w:cs="Arial"/>
              </w:rPr>
              <w:t>play a critical role in conducting cost of supply studies and ensuring their accuracy and relevance</w:t>
            </w:r>
            <w:r w:rsidR="00953EA9">
              <w:rPr>
                <w:rFonts w:ascii="Century Gothic" w:hAnsi="Century Gothic" w:cs="Arial"/>
              </w:rPr>
              <w:t xml:space="preserve"> as well as ensure cost reflective and functional tariffs</w:t>
            </w:r>
            <w:r w:rsidR="00953EA9" w:rsidRPr="00F532E0">
              <w:rPr>
                <w:rFonts w:ascii="Century Gothic" w:hAnsi="Century Gothic" w:cs="Arial"/>
              </w:rPr>
              <w:t>.</w:t>
            </w:r>
            <w:r w:rsidR="00953EA9">
              <w:rPr>
                <w:rFonts w:ascii="Century Gothic" w:hAnsi="Century Gothic" w:cs="Arial"/>
              </w:rPr>
              <w:t xml:space="preserve"> </w:t>
            </w:r>
            <w:r w:rsidR="005F6486" w:rsidRPr="005F6486">
              <w:rPr>
                <w:rFonts w:ascii="Century Gothic" w:hAnsi="Century Gothic" w:cs="Arial"/>
              </w:rPr>
              <w:t>the Cost of Supply Study and Unbundling Tariff process is essential because it ensures accurate, fair, and transparent pricing for using the distribution grid. This pricing not only supports the financial viability of the municipality but also encourages investment, promotes transparency, and ensures the long-term sustainability of the energy ecosystem.</w:t>
            </w:r>
            <w:r w:rsidR="005F6486">
              <w:rPr>
                <w:rFonts w:ascii="Century Gothic" w:hAnsi="Century Gothic" w:cs="Arial"/>
              </w:rPr>
              <w:t xml:space="preserve"> </w:t>
            </w:r>
            <w:r w:rsidR="00F532E0" w:rsidRPr="00F532E0">
              <w:rPr>
                <w:rFonts w:ascii="Century Gothic" w:hAnsi="Century Gothic" w:cs="Arial"/>
              </w:rPr>
              <w:t xml:space="preserve">For </w:t>
            </w:r>
            <w:r w:rsidR="00A33AEF" w:rsidRPr="00F532E0">
              <w:rPr>
                <w:rFonts w:ascii="Century Gothic" w:hAnsi="Century Gothic" w:cs="Arial"/>
              </w:rPr>
              <w:t>support,</w:t>
            </w:r>
            <w:r w:rsidR="00F532E0" w:rsidRPr="00F532E0">
              <w:rPr>
                <w:rFonts w:ascii="Century Gothic" w:hAnsi="Century Gothic" w:cs="Arial"/>
              </w:rPr>
              <w:t xml:space="preserve"> please see </w:t>
            </w:r>
            <w:r w:rsidR="00F532E0" w:rsidRPr="00F532E0">
              <w:rPr>
                <w:rFonts w:ascii="Century Gothic" w:hAnsi="Century Gothic" w:cs="Arial"/>
              </w:rPr>
              <w:lastRenderedPageBreak/>
              <w:t xml:space="preserve">link </w:t>
            </w:r>
            <w:r w:rsidR="00F532E0" w:rsidRPr="00444F78">
              <w:rPr>
                <w:rFonts w:ascii="Century Gothic" w:hAnsi="Century Gothic" w:cs="Arial"/>
              </w:rPr>
              <w:t>below</w:t>
            </w:r>
            <w:r w:rsidR="00E97A71">
              <w:rPr>
                <w:rFonts w:ascii="Century Gothic" w:hAnsi="Century Gothic" w:cs="Arial"/>
              </w:rPr>
              <w:t xml:space="preserve"> for </w:t>
            </w:r>
            <w:r w:rsidR="00E97A71" w:rsidRPr="00F532E0">
              <w:rPr>
                <w:rFonts w:ascii="Century Gothic" w:hAnsi="Century Gothic" w:cs="Arial"/>
              </w:rPr>
              <w:t xml:space="preserve">key actions that </w:t>
            </w:r>
            <w:r w:rsidR="00A56758">
              <w:rPr>
                <w:rFonts w:ascii="Century Gothic" w:hAnsi="Century Gothic" w:cs="Arial"/>
              </w:rPr>
              <w:t xml:space="preserve">The Municipality </w:t>
            </w:r>
            <w:r w:rsidR="00E97A71" w:rsidRPr="00F532E0">
              <w:rPr>
                <w:rFonts w:ascii="Century Gothic" w:hAnsi="Century Gothic" w:cs="Arial"/>
              </w:rPr>
              <w:t>need to undertake in this regard</w:t>
            </w:r>
            <w:r w:rsidR="00E97A71">
              <w:rPr>
                <w:rFonts w:ascii="Century Gothic" w:hAnsi="Century Gothic" w:cs="Arial"/>
              </w:rPr>
              <w:t>:</w:t>
            </w:r>
            <w:r w:rsidR="00444F78" w:rsidRPr="00444F78">
              <w:rPr>
                <w:rFonts w:ascii="Century Gothic" w:hAnsi="Century Gothic" w:cs="Arial"/>
              </w:rPr>
              <w:t xml:space="preserve"> </w:t>
            </w:r>
          </w:p>
          <w:p w14:paraId="3867906C" w14:textId="42F1AC2D" w:rsidR="00444F78" w:rsidRPr="00317F61" w:rsidRDefault="00000000" w:rsidP="00871EE8">
            <w:pPr>
              <w:pStyle w:val="BodyText"/>
              <w:numPr>
                <w:ilvl w:val="1"/>
                <w:numId w:val="64"/>
              </w:numPr>
              <w:spacing w:beforeLines="60" w:before="144" w:afterLines="60" w:after="144" w:line="240" w:lineRule="auto"/>
              <w:rPr>
                <w:rStyle w:val="Hyperlink"/>
                <w:rFonts w:ascii="Century Gothic" w:hAnsi="Century Gothic" w:cs="Arial"/>
                <w:color w:val="auto"/>
                <w:u w:val="none"/>
              </w:rPr>
            </w:pPr>
            <w:hyperlink r:id="rId21" w:history="1">
              <w:r w:rsidR="00444F78" w:rsidRPr="00317F61">
                <w:rPr>
                  <w:rStyle w:val="Hyperlink"/>
                  <w:rFonts w:ascii="Century Gothic" w:hAnsi="Century Gothic"/>
                </w:rPr>
                <w:t>Cost of Supply Studies - Embedded Generation Resource Portal (sseg.org.za)</w:t>
              </w:r>
            </w:hyperlink>
            <w:r w:rsidR="00A43E60">
              <w:rPr>
                <w:rStyle w:val="Hyperlink"/>
                <w:rFonts w:ascii="Century Gothic" w:hAnsi="Century Gothic"/>
              </w:rPr>
              <w:t xml:space="preserve">. </w:t>
            </w:r>
            <w:r w:rsidR="00A43E60" w:rsidRPr="00A43E60">
              <w:rPr>
                <w:rFonts w:ascii="Century Gothic" w:hAnsi="Century Gothic" w:cs="Heebo"/>
                <w:color w:val="262626"/>
                <w:sz w:val="19"/>
                <w:szCs w:val="19"/>
                <w:shd w:val="clear" w:color="auto" w:fill="FFFFFF"/>
              </w:rPr>
              <w:t>Resources to support municipalities improve their electricity cost of supply practices.</w:t>
            </w:r>
          </w:p>
          <w:p w14:paraId="2FB1B280" w14:textId="5EC4043D" w:rsidR="0038585D" w:rsidRPr="00317F61" w:rsidRDefault="00000000" w:rsidP="00871EE8">
            <w:pPr>
              <w:pStyle w:val="BodyText"/>
              <w:numPr>
                <w:ilvl w:val="1"/>
                <w:numId w:val="64"/>
              </w:numPr>
              <w:spacing w:beforeLines="60" w:before="144" w:afterLines="60" w:after="144" w:line="240" w:lineRule="auto"/>
              <w:rPr>
                <w:rFonts w:ascii="Century Gothic" w:hAnsi="Century Gothic"/>
                <w:color w:val="0000FF" w:themeColor="hyperlink"/>
                <w:u w:val="single"/>
              </w:rPr>
            </w:pPr>
            <w:hyperlink r:id="rId22" w:history="1">
              <w:r w:rsidR="0038585D" w:rsidRPr="00317F61">
                <w:rPr>
                  <w:rStyle w:val="Hyperlink"/>
                  <w:rFonts w:ascii="Century Gothic" w:hAnsi="Century Gothic"/>
                </w:rPr>
                <w:t>1-31741 19-12 Min (energy.gov.za)</w:t>
              </w:r>
            </w:hyperlink>
            <w:r w:rsidR="00205672" w:rsidRPr="00317F61">
              <w:rPr>
                <w:rStyle w:val="Hyperlink"/>
                <w:rFonts w:ascii="Century Gothic" w:hAnsi="Century Gothic"/>
              </w:rPr>
              <w:t xml:space="preserve">. </w:t>
            </w:r>
            <w:r w:rsidR="00205672" w:rsidRPr="00317F61">
              <w:rPr>
                <w:rFonts w:ascii="Century Gothic" w:hAnsi="Century Gothic" w:cs="Arial"/>
              </w:rPr>
              <w:t>The EPP 2008 (DMRE) is a document that outlines the policy framework for electricity pricing in South Africa. It was published by the Department of Minerals and Energy in the Government Gazette on 19 December 2008.</w:t>
            </w:r>
          </w:p>
          <w:p w14:paraId="17FF5A53" w14:textId="0B940F18" w:rsidR="00317F61" w:rsidRPr="00317F61" w:rsidRDefault="00000000" w:rsidP="00871EE8">
            <w:pPr>
              <w:pStyle w:val="BodyText"/>
              <w:numPr>
                <w:ilvl w:val="1"/>
                <w:numId w:val="64"/>
              </w:numPr>
              <w:spacing w:beforeLines="60" w:before="144" w:afterLines="60" w:after="144" w:line="240" w:lineRule="auto"/>
              <w:rPr>
                <w:rFonts w:ascii="Century Gothic" w:hAnsi="Century Gothic"/>
                <w:color w:val="0000FF" w:themeColor="hyperlink"/>
                <w:u w:val="single"/>
              </w:rPr>
            </w:pPr>
            <w:hyperlink r:id="rId23" w:history="1">
              <w:r w:rsidR="00782CD2" w:rsidRPr="00317F61">
                <w:rPr>
                  <w:rStyle w:val="Hyperlink"/>
                  <w:rFonts w:ascii="Century Gothic" w:hAnsi="Century Gothic"/>
                </w:rPr>
                <w:t>Published-Consultation-Paper-COS-Framework-Final-1.pdf (nersa.org.za)</w:t>
              </w:r>
            </w:hyperlink>
            <w:r w:rsidR="00317F61" w:rsidRPr="00317F61">
              <w:rPr>
                <w:rStyle w:val="Hyperlink"/>
                <w:rFonts w:ascii="Century Gothic" w:hAnsi="Century Gothic"/>
              </w:rPr>
              <w:t xml:space="preserve"> </w:t>
            </w:r>
            <w:r w:rsidR="00317F61" w:rsidRPr="00317F61">
              <w:rPr>
                <w:rFonts w:ascii="Century Gothic" w:hAnsi="Century Gothic" w:cs="Arial"/>
              </w:rPr>
              <w:t>The cost of supply framework 2016 (NERSA) is a document that provides guidelines for licensed electricity distributors to conduct cost of supply studies. It was issued by the National Energy Regulator of South Africa (NERSA) in March 2015.</w:t>
            </w:r>
          </w:p>
          <w:p w14:paraId="4B551014" w14:textId="26369BAF" w:rsidR="00A20BA4" w:rsidRPr="00AA302E" w:rsidRDefault="00A20BA4" w:rsidP="00871EE8">
            <w:pPr>
              <w:pStyle w:val="BodyText"/>
              <w:numPr>
                <w:ilvl w:val="0"/>
                <w:numId w:val="12"/>
              </w:numPr>
              <w:spacing w:beforeLines="60" w:before="144" w:afterLines="60" w:after="144" w:line="240" w:lineRule="auto"/>
              <w:rPr>
                <w:rFonts w:ascii="Century Gothic" w:hAnsi="Century Gothic" w:cs="Arial"/>
              </w:rPr>
            </w:pPr>
            <w:r w:rsidRPr="00AA302E">
              <w:rPr>
                <w:rFonts w:ascii="Century Gothic" w:hAnsi="Century Gothic" w:cs="Arial"/>
              </w:rPr>
              <w:t>Qualification</w:t>
            </w:r>
            <w:r w:rsidR="0071146C" w:rsidRPr="00AA302E">
              <w:rPr>
                <w:rFonts w:ascii="Century Gothic" w:hAnsi="Century Gothic" w:cs="Arial"/>
              </w:rPr>
              <w:t xml:space="preserve"> requirements: This sets out what are the </w:t>
            </w:r>
            <w:r w:rsidR="0071146C" w:rsidRPr="00AA302E">
              <w:rPr>
                <w:rFonts w:ascii="Century Gothic" w:hAnsi="Century Gothic"/>
              </w:rPr>
              <w:t>specific qualifying criteria, guidelines and conditions to w</w:t>
            </w:r>
            <w:r w:rsidR="00635C2A" w:rsidRPr="00AA302E">
              <w:rPr>
                <w:rFonts w:ascii="Century Gothic" w:hAnsi="Century Gothic"/>
              </w:rPr>
              <w:t>heel energy within the municipal grid.</w:t>
            </w:r>
            <w:r w:rsidR="0071146C" w:rsidRPr="00AA302E">
              <w:rPr>
                <w:rFonts w:ascii="Century Gothic" w:hAnsi="Century Gothic" w:cs="Arial"/>
              </w:rPr>
              <w:t xml:space="preserve"> </w:t>
            </w:r>
            <w:r w:rsidRPr="00AA302E">
              <w:rPr>
                <w:rFonts w:ascii="Century Gothic" w:hAnsi="Century Gothic" w:cs="Arial"/>
              </w:rPr>
              <w:t xml:space="preserve"> </w:t>
            </w:r>
          </w:p>
          <w:p w14:paraId="040AF24A" w14:textId="7CD2AD00" w:rsidR="009562F5" w:rsidRPr="00AA302E" w:rsidRDefault="009562F5" w:rsidP="00871EE8">
            <w:pPr>
              <w:pStyle w:val="BodyText"/>
              <w:numPr>
                <w:ilvl w:val="0"/>
                <w:numId w:val="12"/>
              </w:numPr>
              <w:spacing w:beforeLines="60" w:before="144" w:afterLines="60" w:after="144" w:line="240" w:lineRule="auto"/>
              <w:rPr>
                <w:rFonts w:ascii="Century Gothic" w:hAnsi="Century Gothic" w:cs="Arial"/>
              </w:rPr>
            </w:pPr>
            <w:r w:rsidRPr="00AA302E">
              <w:rPr>
                <w:rFonts w:ascii="Century Gothic" w:hAnsi="Century Gothic" w:cs="Arial"/>
              </w:rPr>
              <w:t>Application procedure: This involves defining the process for submitting an application for third-party access</w:t>
            </w:r>
            <w:r w:rsidR="0068032C">
              <w:rPr>
                <w:rFonts w:ascii="Century Gothic" w:hAnsi="Century Gothic" w:cs="Arial"/>
              </w:rPr>
              <w:t>/</w:t>
            </w:r>
            <w:r w:rsidRPr="00AA302E">
              <w:rPr>
                <w:rFonts w:ascii="Century Gothic" w:hAnsi="Century Gothic" w:cs="Arial"/>
              </w:rPr>
              <w:t>open access transmission, including the required documentation and timelines.</w:t>
            </w:r>
          </w:p>
          <w:p w14:paraId="32FDC0DF" w14:textId="333E3B4B" w:rsidR="009562F5" w:rsidRPr="00AA302E" w:rsidRDefault="009562F5" w:rsidP="00871EE8">
            <w:pPr>
              <w:pStyle w:val="BodyText"/>
              <w:numPr>
                <w:ilvl w:val="0"/>
                <w:numId w:val="12"/>
              </w:numPr>
              <w:spacing w:beforeLines="60" w:before="144" w:afterLines="60" w:after="144" w:line="240" w:lineRule="auto"/>
              <w:rPr>
                <w:rFonts w:ascii="Century Gothic" w:hAnsi="Century Gothic" w:cs="Arial"/>
              </w:rPr>
            </w:pPr>
            <w:r w:rsidRPr="00AA302E">
              <w:rPr>
                <w:rFonts w:ascii="Century Gothic" w:hAnsi="Century Gothic" w:cs="Arial"/>
              </w:rPr>
              <w:t>Legal and contractual framework: This involves defining the legal and contractual framework for the wheeling service, including contracts and agreements between the generator, municipality, customer, and potential</w:t>
            </w:r>
            <w:r w:rsidR="004840BA">
              <w:rPr>
                <w:rFonts w:ascii="Century Gothic" w:hAnsi="Century Gothic" w:cs="Arial"/>
              </w:rPr>
              <w:t>ly</w:t>
            </w:r>
            <w:r w:rsidRPr="00AA302E">
              <w:rPr>
                <w:rFonts w:ascii="Century Gothic" w:hAnsi="Century Gothic" w:cs="Arial"/>
              </w:rPr>
              <w:t xml:space="preserve"> </w:t>
            </w:r>
            <w:r w:rsidR="00A56122">
              <w:rPr>
                <w:rFonts w:ascii="Century Gothic" w:hAnsi="Century Gothic" w:cs="Arial"/>
              </w:rPr>
              <w:t>a</w:t>
            </w:r>
            <w:r w:rsidR="00A56122" w:rsidRPr="00AA302E">
              <w:rPr>
                <w:rFonts w:ascii="Century Gothic" w:hAnsi="Century Gothic" w:cs="Arial"/>
              </w:rPr>
              <w:t xml:space="preserve"> </w:t>
            </w:r>
            <w:r w:rsidRPr="00AA302E">
              <w:rPr>
                <w:rFonts w:ascii="Century Gothic" w:hAnsi="Century Gothic" w:cs="Arial"/>
              </w:rPr>
              <w:t>trader.</w:t>
            </w:r>
            <w:r w:rsidR="00E42949">
              <w:rPr>
                <w:rFonts w:ascii="Century Gothic" w:hAnsi="Century Gothic" w:cs="Arial"/>
              </w:rPr>
              <w:t xml:space="preserve"> Note that </w:t>
            </w:r>
            <w:r w:rsidR="00DB62EF">
              <w:rPr>
                <w:rFonts w:ascii="Century Gothic" w:hAnsi="Century Gothic" w:cs="Arial"/>
              </w:rPr>
              <w:t xml:space="preserve">the municipality will also have to sign an </w:t>
            </w:r>
            <w:r w:rsidR="00C858EE">
              <w:rPr>
                <w:rFonts w:ascii="Century Gothic" w:hAnsi="Century Gothic" w:cs="Arial"/>
              </w:rPr>
              <w:t xml:space="preserve">Amended </w:t>
            </w:r>
            <w:r w:rsidR="00A13C27">
              <w:rPr>
                <w:rFonts w:ascii="Century Gothic" w:hAnsi="Century Gothic" w:cs="Arial"/>
              </w:rPr>
              <w:t xml:space="preserve">Energy </w:t>
            </w:r>
            <w:r w:rsidR="00C858EE">
              <w:rPr>
                <w:rFonts w:ascii="Century Gothic" w:hAnsi="Century Gothic" w:cs="Arial"/>
              </w:rPr>
              <w:t>Supply Agreemen</w:t>
            </w:r>
            <w:r w:rsidR="004840BA">
              <w:rPr>
                <w:rFonts w:ascii="Century Gothic" w:hAnsi="Century Gothic" w:cs="Arial"/>
              </w:rPr>
              <w:t xml:space="preserve">t </w:t>
            </w:r>
            <w:r w:rsidR="00C858EE">
              <w:rPr>
                <w:rFonts w:ascii="Century Gothic" w:hAnsi="Century Gothic" w:cs="Arial"/>
              </w:rPr>
              <w:t>with Eskom</w:t>
            </w:r>
            <w:r w:rsidR="004840BA">
              <w:rPr>
                <w:rFonts w:ascii="Century Gothic" w:hAnsi="Century Gothic" w:cs="Arial"/>
              </w:rPr>
              <w:t xml:space="preserve"> for wheeling</w:t>
            </w:r>
            <w:r w:rsidR="000070E4">
              <w:rPr>
                <w:rFonts w:ascii="Century Gothic" w:hAnsi="Century Gothic" w:cs="Arial"/>
              </w:rPr>
              <w:t>.</w:t>
            </w:r>
          </w:p>
          <w:p w14:paraId="4BDD097F" w14:textId="436B494D" w:rsidR="009562F5" w:rsidRPr="00AA302E" w:rsidRDefault="009562F5" w:rsidP="00871EE8">
            <w:pPr>
              <w:pStyle w:val="BodyText"/>
              <w:numPr>
                <w:ilvl w:val="0"/>
                <w:numId w:val="12"/>
              </w:numPr>
              <w:spacing w:beforeLines="60" w:before="144" w:afterLines="60" w:after="144" w:line="240" w:lineRule="auto"/>
              <w:rPr>
                <w:rFonts w:ascii="Century Gothic" w:hAnsi="Century Gothic" w:cs="Arial"/>
              </w:rPr>
            </w:pPr>
            <w:r w:rsidRPr="00AA302E">
              <w:rPr>
                <w:rFonts w:ascii="Century Gothic" w:hAnsi="Century Gothic" w:cs="Arial"/>
              </w:rPr>
              <w:t>Billing and invoicing procedure: This involves defining the process for billing and invoicing for the wheeling service, including the establishment of tariffs, payment terms, and billing cycles.</w:t>
            </w:r>
            <w:r w:rsidR="00BF66F7" w:rsidRPr="00AA302E">
              <w:rPr>
                <w:rFonts w:ascii="Century Gothic" w:hAnsi="Century Gothic" w:cs="Arial"/>
              </w:rPr>
              <w:t xml:space="preserve"> </w:t>
            </w:r>
          </w:p>
          <w:p w14:paraId="037527AE" w14:textId="77777777" w:rsidR="00295AE0" w:rsidRPr="00AA302E" w:rsidRDefault="009562F5" w:rsidP="00871EE8">
            <w:pPr>
              <w:pStyle w:val="BodyText"/>
              <w:numPr>
                <w:ilvl w:val="0"/>
                <w:numId w:val="12"/>
              </w:numPr>
              <w:spacing w:beforeLines="60" w:before="144" w:afterLines="60" w:after="144" w:line="240" w:lineRule="auto"/>
              <w:rPr>
                <w:rFonts w:ascii="Century Gothic" w:hAnsi="Century Gothic" w:cs="Arial"/>
              </w:rPr>
            </w:pPr>
            <w:r w:rsidRPr="00AA302E">
              <w:rPr>
                <w:rFonts w:ascii="Century Gothic" w:hAnsi="Century Gothic" w:cs="Arial"/>
              </w:rPr>
              <w:t>Tariff documentation: This involves preparing the tariff documentation, including the tariff structure, rates, and any special conditions or discounts.</w:t>
            </w:r>
          </w:p>
          <w:p w14:paraId="0D450199" w14:textId="114C7F30" w:rsidR="00D613BD" w:rsidRPr="00AA302E" w:rsidRDefault="00295AE0" w:rsidP="00871EE8">
            <w:pPr>
              <w:pStyle w:val="BodyText"/>
              <w:numPr>
                <w:ilvl w:val="0"/>
                <w:numId w:val="12"/>
              </w:numPr>
              <w:spacing w:beforeLines="60" w:before="144" w:afterLines="60" w:after="144" w:line="240" w:lineRule="auto"/>
              <w:rPr>
                <w:rFonts w:ascii="Century Gothic" w:hAnsi="Century Gothic" w:cs="Arial"/>
              </w:rPr>
            </w:pPr>
            <w:r w:rsidRPr="00AA302E">
              <w:rPr>
                <w:rFonts w:ascii="Century Gothic" w:hAnsi="Century Gothic" w:cs="Arial"/>
              </w:rPr>
              <w:t>Data exchange</w:t>
            </w:r>
            <w:r w:rsidRPr="00AA302E">
              <w:rPr>
                <w:rFonts w:ascii="Century Gothic" w:hAnsi="Century Gothic" w:cs="Arial"/>
                <w:b/>
              </w:rPr>
              <w:t xml:space="preserve">: </w:t>
            </w:r>
            <w:r w:rsidRPr="00AA302E">
              <w:rPr>
                <w:rFonts w:ascii="Century Gothic" w:hAnsi="Century Gothic" w:cs="Arial"/>
              </w:rPr>
              <w:t>This involves defining the procedures for data exchange between the generator, municipality, customer, and potential</w:t>
            </w:r>
            <w:r w:rsidR="004840BA">
              <w:rPr>
                <w:rFonts w:ascii="Century Gothic" w:hAnsi="Century Gothic" w:cs="Arial"/>
              </w:rPr>
              <w:t>ly a</w:t>
            </w:r>
            <w:r w:rsidRPr="00AA302E">
              <w:rPr>
                <w:rFonts w:ascii="Century Gothic" w:hAnsi="Century Gothic" w:cs="Arial"/>
              </w:rPr>
              <w:t xml:space="preserve"> trader, including the format and frequency of data sharing</w:t>
            </w:r>
            <w:r w:rsidR="00D613BD" w:rsidRPr="00AA302E">
              <w:rPr>
                <w:rFonts w:ascii="Century Gothic" w:hAnsi="Century Gothic" w:cs="Arial"/>
              </w:rPr>
              <w:t>.</w:t>
            </w:r>
            <w:r w:rsidR="001F61E0" w:rsidRPr="00AA302E">
              <w:rPr>
                <w:rFonts w:ascii="Century Gothic" w:hAnsi="Century Gothic" w:cs="Arial"/>
              </w:rPr>
              <w:t xml:space="preserve"> </w:t>
            </w:r>
          </w:p>
          <w:p w14:paraId="06479D80" w14:textId="7AFED0EA" w:rsidR="00903FF2" w:rsidRPr="009D0467" w:rsidRDefault="00097E29" w:rsidP="00E03BB2">
            <w:pPr>
              <w:pStyle w:val="BodyText"/>
              <w:spacing w:beforeLines="60" w:before="144" w:afterLines="60" w:after="144" w:line="240" w:lineRule="auto"/>
              <w:rPr>
                <w:rFonts w:ascii="Century Gothic" w:hAnsi="Century Gothic"/>
                <w:b/>
                <w:bCs/>
              </w:rPr>
            </w:pPr>
            <w:r w:rsidRPr="00AA302E">
              <w:rPr>
                <w:rFonts w:ascii="Century Gothic" w:hAnsi="Century Gothic" w:cs="Arial"/>
                <w:b/>
              </w:rPr>
              <w:t xml:space="preserve">Step 3: </w:t>
            </w:r>
            <w:r w:rsidR="00903FF2" w:rsidRPr="00AA302E">
              <w:rPr>
                <w:rFonts w:ascii="Century Gothic" w:hAnsi="Century Gothic" w:cs="Arial"/>
                <w:b/>
              </w:rPr>
              <w:t xml:space="preserve">Council </w:t>
            </w:r>
            <w:r w:rsidR="004A18B4">
              <w:rPr>
                <w:rFonts w:ascii="Century Gothic" w:hAnsi="Century Gothic" w:cs="Arial"/>
                <w:b/>
              </w:rPr>
              <w:t>to a</w:t>
            </w:r>
            <w:r w:rsidR="00903FF2" w:rsidRPr="00AA302E">
              <w:rPr>
                <w:rFonts w:ascii="Century Gothic" w:hAnsi="Century Gothic" w:cs="Arial"/>
                <w:b/>
              </w:rPr>
              <w:t>pprov</w:t>
            </w:r>
            <w:r w:rsidR="004A18B4">
              <w:rPr>
                <w:rFonts w:ascii="Century Gothic" w:hAnsi="Century Gothic" w:cs="Arial"/>
                <w:b/>
              </w:rPr>
              <w:t>e</w:t>
            </w:r>
            <w:r w:rsidR="00903FF2" w:rsidRPr="00AA302E">
              <w:rPr>
                <w:rFonts w:ascii="Century Gothic" w:hAnsi="Century Gothic" w:cs="Arial"/>
                <w:b/>
              </w:rPr>
              <w:t xml:space="preserve"> wheeling as a service (if applicable):</w:t>
            </w:r>
          </w:p>
          <w:p w14:paraId="5677C9E6" w14:textId="77777777" w:rsidR="00372E82" w:rsidRPr="00372E82" w:rsidRDefault="00372E82" w:rsidP="00871EE8">
            <w:pPr>
              <w:pStyle w:val="BodyText"/>
              <w:numPr>
                <w:ilvl w:val="0"/>
                <w:numId w:val="12"/>
              </w:numPr>
              <w:spacing w:beforeLines="60" w:before="144" w:afterLines="60" w:after="144" w:line="240" w:lineRule="auto"/>
              <w:rPr>
                <w:rFonts w:ascii="Century Gothic" w:hAnsi="Century Gothic" w:cs="Arial"/>
              </w:rPr>
            </w:pPr>
            <w:r w:rsidRPr="00372E82">
              <w:rPr>
                <w:rFonts w:ascii="Century Gothic" w:hAnsi="Century Gothic" w:cs="Arial"/>
              </w:rPr>
              <w:t>This critical step involves obtaining official approval from the municipality or other relevant authority to establish the wheeling service. The process for council approval must be conducted in accordance with the Municipal Finance Management Act (MFMA) and the Municipal Systems Act.</w:t>
            </w:r>
          </w:p>
          <w:p w14:paraId="5058E818" w14:textId="77777777" w:rsidR="00372E82" w:rsidRDefault="00372E82" w:rsidP="00871EE8">
            <w:pPr>
              <w:pStyle w:val="BodyText"/>
              <w:numPr>
                <w:ilvl w:val="0"/>
                <w:numId w:val="12"/>
              </w:numPr>
              <w:spacing w:beforeLines="60" w:before="144" w:afterLines="60" w:after="144" w:line="240" w:lineRule="auto"/>
              <w:rPr>
                <w:rFonts w:ascii="Century Gothic" w:hAnsi="Century Gothic" w:cs="Arial"/>
              </w:rPr>
            </w:pPr>
            <w:r w:rsidRPr="00372E82">
              <w:rPr>
                <w:rFonts w:ascii="Century Gothic" w:hAnsi="Century Gothic" w:cs="Arial"/>
              </w:rPr>
              <w:t xml:space="preserve">During this stage, the municipality's officials must follow the necessary procedures to have the wheeling policy and by-laws approved. The wheeling policy will include qualifying criteria and guidelines for the service. </w:t>
            </w:r>
          </w:p>
          <w:p w14:paraId="0FF0036D" w14:textId="271BE5B6" w:rsidR="009562F5" w:rsidRPr="00AA302E" w:rsidRDefault="00097E29" w:rsidP="00E03BB2">
            <w:pPr>
              <w:pStyle w:val="BodyText"/>
              <w:spacing w:beforeLines="60" w:before="144" w:afterLines="60" w:after="144" w:line="240" w:lineRule="auto"/>
              <w:rPr>
                <w:rFonts w:ascii="Century Gothic" w:hAnsi="Century Gothic" w:cs="Arial"/>
              </w:rPr>
            </w:pPr>
            <w:r w:rsidRPr="00AA302E">
              <w:rPr>
                <w:rFonts w:ascii="Century Gothic" w:hAnsi="Century Gothic" w:cs="Arial"/>
                <w:b/>
              </w:rPr>
              <w:t xml:space="preserve">Step 4: </w:t>
            </w:r>
            <w:r w:rsidR="009562F5" w:rsidRPr="00AA302E">
              <w:rPr>
                <w:rFonts w:ascii="Century Gothic" w:hAnsi="Century Gothic" w:cs="Arial"/>
                <w:b/>
              </w:rPr>
              <w:t>Public participation (if needed):</w:t>
            </w:r>
          </w:p>
          <w:p w14:paraId="14B800C7" w14:textId="77777777" w:rsidR="00D77E55" w:rsidRDefault="009562F5" w:rsidP="00871EE8">
            <w:pPr>
              <w:pStyle w:val="BodyText"/>
              <w:numPr>
                <w:ilvl w:val="0"/>
                <w:numId w:val="12"/>
              </w:numPr>
              <w:spacing w:beforeLines="60" w:before="144" w:afterLines="60" w:after="144" w:line="240" w:lineRule="auto"/>
              <w:rPr>
                <w:rFonts w:ascii="Century Gothic" w:hAnsi="Century Gothic" w:cs="Arial"/>
              </w:rPr>
            </w:pPr>
            <w:r w:rsidRPr="00AA302E">
              <w:rPr>
                <w:rFonts w:ascii="Century Gothic" w:hAnsi="Century Gothic" w:cs="Arial"/>
              </w:rPr>
              <w:t>This step involves engaging with the public to obtain feedback and input on the proposed wheeling service, particularly if the service will have a significant impact on the community.</w:t>
            </w:r>
          </w:p>
          <w:p w14:paraId="123CB678" w14:textId="713B9C04" w:rsidR="00D77E55" w:rsidRPr="00C419A4" w:rsidRDefault="00D77E55" w:rsidP="00871EE8">
            <w:pPr>
              <w:pStyle w:val="BodyText"/>
              <w:numPr>
                <w:ilvl w:val="0"/>
                <w:numId w:val="12"/>
              </w:numPr>
              <w:spacing w:beforeLines="60" w:before="144" w:afterLines="60" w:after="144" w:line="240" w:lineRule="auto"/>
              <w:rPr>
                <w:rFonts w:ascii="Century Gothic" w:hAnsi="Century Gothic" w:cs="Arial"/>
              </w:rPr>
            </w:pPr>
            <w:r w:rsidRPr="00372E82">
              <w:rPr>
                <w:rFonts w:ascii="Century Gothic" w:hAnsi="Century Gothic" w:cs="Arial"/>
              </w:rPr>
              <w:lastRenderedPageBreak/>
              <w:t>The municipality reviews the public feedback, adjusts the policy if necessary, and incorporates relevant suggestions from stakeholders.</w:t>
            </w:r>
          </w:p>
          <w:p w14:paraId="3E51FC58" w14:textId="4EF47901" w:rsidR="00903FF2" w:rsidRPr="00AA302E" w:rsidRDefault="00097E29" w:rsidP="00E03BB2">
            <w:pPr>
              <w:pStyle w:val="BodyText"/>
              <w:spacing w:beforeLines="60" w:before="144" w:afterLines="60" w:after="144" w:line="240" w:lineRule="auto"/>
              <w:rPr>
                <w:rFonts w:ascii="Century Gothic" w:hAnsi="Century Gothic" w:cs="Arial"/>
                <w:b/>
              </w:rPr>
            </w:pPr>
            <w:r w:rsidRPr="00AA302E">
              <w:rPr>
                <w:rFonts w:ascii="Century Gothic" w:hAnsi="Century Gothic" w:cs="Arial"/>
                <w:b/>
              </w:rPr>
              <w:t xml:space="preserve">Step 5: </w:t>
            </w:r>
            <w:r w:rsidR="00903FF2" w:rsidRPr="00AA302E">
              <w:rPr>
                <w:rFonts w:ascii="Century Gothic" w:hAnsi="Century Gothic" w:cs="Arial"/>
                <w:b/>
              </w:rPr>
              <w:t>Submit wheeling tariff to NERSA:</w:t>
            </w:r>
          </w:p>
          <w:p w14:paraId="2DC609A2" w14:textId="5AD7F297" w:rsidR="00903FF2" w:rsidRPr="00AA302E" w:rsidRDefault="00903FF2" w:rsidP="00E03BB2">
            <w:pPr>
              <w:pStyle w:val="BodyText"/>
              <w:spacing w:beforeLines="60" w:before="144" w:afterLines="60" w:after="144" w:line="240" w:lineRule="auto"/>
              <w:rPr>
                <w:rFonts w:ascii="Century Gothic" w:hAnsi="Century Gothic" w:cs="Arial"/>
              </w:rPr>
            </w:pPr>
            <w:r w:rsidRPr="00AA302E">
              <w:rPr>
                <w:rFonts w:ascii="Century Gothic" w:hAnsi="Century Gothic" w:cs="Arial"/>
              </w:rPr>
              <w:t>This step involves submitting the wheeling tariff to the National Energy Regulator of South Africa (NERSA) for review and approval, if required.</w:t>
            </w:r>
            <w:r w:rsidR="00133766" w:rsidRPr="00AA302E">
              <w:rPr>
                <w:rFonts w:ascii="Century Gothic" w:hAnsi="Century Gothic" w:cs="Arial"/>
              </w:rPr>
              <w:t xml:space="preserve"> As per approved national wheeling framework when applicable.</w:t>
            </w:r>
          </w:p>
          <w:p w14:paraId="3D974333" w14:textId="3B48C7FB" w:rsidR="00AE1DE5" w:rsidRPr="00AA302E" w:rsidRDefault="00097E29" w:rsidP="00E03BB2">
            <w:pPr>
              <w:pStyle w:val="BodyText"/>
              <w:spacing w:beforeLines="60" w:before="144" w:afterLines="60" w:after="144" w:line="240" w:lineRule="auto"/>
              <w:rPr>
                <w:rFonts w:ascii="Century Gothic" w:hAnsi="Century Gothic" w:cs="Arial"/>
                <w:b/>
              </w:rPr>
            </w:pPr>
            <w:r w:rsidRPr="00AA302E">
              <w:rPr>
                <w:rFonts w:ascii="Century Gothic" w:hAnsi="Century Gothic" w:cs="Arial"/>
                <w:b/>
              </w:rPr>
              <w:t xml:space="preserve">Step 6: </w:t>
            </w:r>
            <w:r w:rsidR="00AE1DE5" w:rsidRPr="00AA302E">
              <w:rPr>
                <w:rFonts w:ascii="Century Gothic" w:hAnsi="Century Gothic" w:cs="Arial"/>
                <w:b/>
              </w:rPr>
              <w:t>Tariff approval, as part of budget process:</w:t>
            </w:r>
          </w:p>
          <w:p w14:paraId="6EF9C57B" w14:textId="4EAFBF9F" w:rsidR="00AE1DE5" w:rsidRPr="00AA302E" w:rsidRDefault="00AE1DE5" w:rsidP="00E03BB2">
            <w:pPr>
              <w:pStyle w:val="BodyText"/>
              <w:spacing w:beforeLines="60" w:before="144" w:afterLines="60" w:after="144" w:line="240" w:lineRule="auto"/>
              <w:rPr>
                <w:rFonts w:ascii="Century Gothic" w:hAnsi="Century Gothic" w:cs="Arial"/>
              </w:rPr>
            </w:pPr>
            <w:r w:rsidRPr="00AA302E">
              <w:rPr>
                <w:rFonts w:ascii="Century Gothic" w:hAnsi="Century Gothic" w:cs="Arial"/>
              </w:rPr>
              <w:t>This involves obtaining approval for the wheeling tariff as part of the budget process and ensuring that the tariff is consistent with the overall financial plan for the municipality or other relevant authority.</w:t>
            </w:r>
            <w:r w:rsidR="00A33B62" w:rsidRPr="00AA302E">
              <w:rPr>
                <w:rFonts w:ascii="Century Gothic" w:hAnsi="Century Gothic" w:cs="Arial"/>
              </w:rPr>
              <w:t xml:space="preserve"> </w:t>
            </w:r>
          </w:p>
          <w:p w14:paraId="54B6CE0A" w14:textId="37F44AAF" w:rsidR="009562F5" w:rsidRPr="00DB0329" w:rsidRDefault="00097E29" w:rsidP="00E03BB2">
            <w:pPr>
              <w:pStyle w:val="BodyText"/>
              <w:spacing w:beforeLines="60" w:before="144" w:afterLines="60" w:after="144" w:line="240" w:lineRule="auto"/>
              <w:rPr>
                <w:rFonts w:ascii="Century Gothic" w:hAnsi="Century Gothic"/>
                <w:b/>
                <w:bCs/>
              </w:rPr>
            </w:pPr>
            <w:r w:rsidRPr="00AA302E">
              <w:rPr>
                <w:rFonts w:ascii="Century Gothic" w:hAnsi="Century Gothic" w:cs="Arial"/>
                <w:b/>
              </w:rPr>
              <w:t xml:space="preserve">Step 7: </w:t>
            </w:r>
            <w:r w:rsidR="009562F5" w:rsidRPr="00AA302E">
              <w:rPr>
                <w:rFonts w:ascii="Century Gothic" w:hAnsi="Century Gothic" w:cs="Arial"/>
                <w:b/>
              </w:rPr>
              <w:t>Approved wheeling policy and wheeling tariff:</w:t>
            </w:r>
          </w:p>
          <w:p w14:paraId="5CD87A81" w14:textId="77777777" w:rsidR="00D057B7" w:rsidRDefault="00C37EF3" w:rsidP="00871EE8">
            <w:pPr>
              <w:pStyle w:val="BodyText"/>
              <w:numPr>
                <w:ilvl w:val="0"/>
                <w:numId w:val="59"/>
              </w:numPr>
              <w:spacing w:beforeLines="60" w:before="144" w:afterLines="60" w:after="144" w:line="240" w:lineRule="auto"/>
              <w:rPr>
                <w:rFonts w:ascii="Century Gothic" w:hAnsi="Century Gothic" w:cs="Arial"/>
              </w:rPr>
            </w:pPr>
            <w:r w:rsidRPr="00AA302E">
              <w:rPr>
                <w:rFonts w:ascii="Century Gothic" w:hAnsi="Century Gothic" w:cs="Arial"/>
              </w:rPr>
              <w:t xml:space="preserve">This involves finalizing the overall wheeling policy, including any additional requirements or guidelines as well as </w:t>
            </w:r>
            <w:r w:rsidR="009562F5" w:rsidRPr="00AA302E">
              <w:rPr>
                <w:rFonts w:ascii="Century Gothic" w:hAnsi="Century Gothic" w:cs="Arial"/>
              </w:rPr>
              <w:t>obtaining final approval for the wheeling policy and tariff from the municipality or other relevant authority.</w:t>
            </w:r>
          </w:p>
          <w:p w14:paraId="1A1DCD9E" w14:textId="77777777" w:rsidR="00C419A4" w:rsidRDefault="00C419A4" w:rsidP="00871EE8">
            <w:pPr>
              <w:pStyle w:val="BodyText"/>
              <w:numPr>
                <w:ilvl w:val="0"/>
                <w:numId w:val="12"/>
              </w:numPr>
              <w:spacing w:beforeLines="60" w:before="144" w:afterLines="60" w:after="144" w:line="240" w:lineRule="auto"/>
              <w:rPr>
                <w:rFonts w:ascii="Century Gothic" w:hAnsi="Century Gothic" w:cs="Arial"/>
              </w:rPr>
            </w:pPr>
            <w:r w:rsidRPr="00372E82">
              <w:rPr>
                <w:rFonts w:ascii="Century Gothic" w:hAnsi="Century Gothic" w:cs="Arial"/>
              </w:rPr>
              <w:t>Once the wheeling policy and tariff are approved by the relevant authorities, they will be gazetted by the government, providing a framework for implementing the wheeling service within the municipality's jurisdictio</w:t>
            </w:r>
            <w:r>
              <w:rPr>
                <w:rFonts w:ascii="Century Gothic" w:hAnsi="Century Gothic" w:cs="Arial"/>
              </w:rPr>
              <w:t>n</w:t>
            </w:r>
          </w:p>
          <w:p w14:paraId="0465EBB6" w14:textId="54034C55" w:rsidR="00CD4C74" w:rsidRDefault="00CD4C74" w:rsidP="00CD4C74">
            <w:pPr>
              <w:pStyle w:val="BodyText"/>
              <w:spacing w:beforeLines="60" w:before="144" w:afterLines="60" w:after="144" w:line="240" w:lineRule="auto"/>
              <w:rPr>
                <w:rFonts w:ascii="Century Gothic" w:hAnsi="Century Gothic" w:cs="Arial"/>
                <w:b/>
                <w:bCs/>
                <w:lang w:val="en-US"/>
              </w:rPr>
            </w:pPr>
            <w:r w:rsidRPr="00AA302E">
              <w:rPr>
                <w:rFonts w:ascii="Century Gothic" w:hAnsi="Century Gothic" w:cs="Arial"/>
                <w:b/>
              </w:rPr>
              <w:t xml:space="preserve">Step </w:t>
            </w:r>
            <w:r>
              <w:rPr>
                <w:rFonts w:ascii="Century Gothic" w:hAnsi="Century Gothic" w:cs="Arial"/>
                <w:b/>
              </w:rPr>
              <w:t>8</w:t>
            </w:r>
            <w:r w:rsidRPr="00AA302E">
              <w:rPr>
                <w:rFonts w:ascii="Century Gothic" w:hAnsi="Century Gothic" w:cs="Arial"/>
                <w:b/>
              </w:rPr>
              <w:t xml:space="preserve">: </w:t>
            </w:r>
            <w:r w:rsidR="00023BE9" w:rsidRPr="00023BE9">
              <w:rPr>
                <w:rFonts w:ascii="Century Gothic" w:hAnsi="Century Gothic" w:cs="Arial"/>
                <w:b/>
                <w:bCs/>
                <w:lang w:val="en-US"/>
              </w:rPr>
              <w:t>Customize wheeling agreements</w:t>
            </w:r>
          </w:p>
          <w:p w14:paraId="04AB3CDE" w14:textId="45425884" w:rsidR="0076012F" w:rsidRPr="0076012F" w:rsidRDefault="0076012F" w:rsidP="00871EE8">
            <w:pPr>
              <w:pStyle w:val="BodyText"/>
              <w:numPr>
                <w:ilvl w:val="0"/>
                <w:numId w:val="59"/>
              </w:numPr>
              <w:spacing w:beforeLines="60" w:before="144" w:afterLines="60" w:after="144" w:line="240" w:lineRule="auto"/>
              <w:rPr>
                <w:rFonts w:ascii="Century Gothic" w:hAnsi="Century Gothic" w:cs="Arial"/>
              </w:rPr>
            </w:pPr>
            <w:r w:rsidRPr="0076012F">
              <w:rPr>
                <w:rFonts w:ascii="Century Gothic" w:hAnsi="Century Gothic" w:cs="Arial"/>
              </w:rPr>
              <w:t>Begin by reviewing the available templates and user guides pertaining to wheeling agreements.</w:t>
            </w:r>
          </w:p>
          <w:p w14:paraId="384AB1EB" w14:textId="1D4AA57C" w:rsidR="0076012F" w:rsidRPr="0076012F" w:rsidRDefault="0076012F" w:rsidP="00871EE8">
            <w:pPr>
              <w:pStyle w:val="BodyText"/>
              <w:numPr>
                <w:ilvl w:val="0"/>
                <w:numId w:val="59"/>
              </w:numPr>
              <w:spacing w:beforeLines="60" w:before="144" w:afterLines="60" w:after="144" w:line="240" w:lineRule="auto"/>
              <w:rPr>
                <w:rFonts w:ascii="Century Gothic" w:hAnsi="Century Gothic" w:cs="Arial"/>
              </w:rPr>
            </w:pPr>
            <w:r w:rsidRPr="0076012F">
              <w:rPr>
                <w:rFonts w:ascii="Century Gothic" w:hAnsi="Century Gothic" w:cs="Arial"/>
              </w:rPr>
              <w:t>Adapt these templates to make them applicable to the specific needs and context of the municipality.</w:t>
            </w:r>
          </w:p>
          <w:p w14:paraId="249850BA" w14:textId="53BB3E3E" w:rsidR="0076012F" w:rsidRPr="0076012F" w:rsidRDefault="0076012F" w:rsidP="00871EE8">
            <w:pPr>
              <w:pStyle w:val="BodyText"/>
              <w:numPr>
                <w:ilvl w:val="0"/>
                <w:numId w:val="59"/>
              </w:numPr>
              <w:spacing w:beforeLines="60" w:before="144" w:afterLines="60" w:after="144" w:line="240" w:lineRule="auto"/>
              <w:rPr>
                <w:rFonts w:ascii="Century Gothic" w:hAnsi="Century Gothic" w:cs="Arial"/>
              </w:rPr>
            </w:pPr>
            <w:r w:rsidRPr="0076012F">
              <w:rPr>
                <w:rFonts w:ascii="Century Gothic" w:hAnsi="Century Gothic" w:cs="Arial"/>
              </w:rPr>
              <w:t>Share the customized agreement with key departments (like the legal department) and stakeholders for feedback.</w:t>
            </w:r>
          </w:p>
          <w:p w14:paraId="5DCBEEF4" w14:textId="1BD7C8DD" w:rsidR="0076012F" w:rsidRPr="0076012F" w:rsidRDefault="002C61F2" w:rsidP="00871EE8">
            <w:pPr>
              <w:pStyle w:val="BodyText"/>
              <w:numPr>
                <w:ilvl w:val="0"/>
                <w:numId w:val="59"/>
              </w:numPr>
              <w:spacing w:beforeLines="60" w:before="144" w:afterLines="60" w:after="144" w:line="240" w:lineRule="auto"/>
              <w:rPr>
                <w:rFonts w:ascii="Century Gothic" w:hAnsi="Century Gothic" w:cs="Arial"/>
              </w:rPr>
            </w:pPr>
            <w:r w:rsidRPr="0076012F">
              <w:rPr>
                <w:rFonts w:ascii="Century Gothic" w:hAnsi="Century Gothic" w:cs="Arial"/>
              </w:rPr>
              <w:t>Adjust</w:t>
            </w:r>
            <w:r w:rsidR="0076012F" w:rsidRPr="0076012F">
              <w:rPr>
                <w:rFonts w:ascii="Century Gothic" w:hAnsi="Century Gothic" w:cs="Arial"/>
              </w:rPr>
              <w:t xml:space="preserve"> based on the feedback received</w:t>
            </w:r>
            <w:r w:rsidR="0076012F">
              <w:rPr>
                <w:rFonts w:ascii="Century Gothic" w:hAnsi="Century Gothic" w:cs="Arial"/>
              </w:rPr>
              <w:t xml:space="preserve"> and</w:t>
            </w:r>
            <w:r w:rsidR="006F516A">
              <w:rPr>
                <w:rFonts w:ascii="Century Gothic" w:hAnsi="Century Gothic" w:cs="Arial"/>
              </w:rPr>
              <w:t xml:space="preserve"> o</w:t>
            </w:r>
            <w:r w:rsidR="0076012F" w:rsidRPr="0076012F">
              <w:rPr>
                <w:rFonts w:ascii="Century Gothic" w:hAnsi="Century Gothic" w:cs="Arial"/>
              </w:rPr>
              <w:t>btain a legal review to ensure the agreement complies with all regulations and protects the interests of the municipality.</w:t>
            </w:r>
          </w:p>
          <w:p w14:paraId="0AFB41E3" w14:textId="2DB30B0F" w:rsidR="0076012F" w:rsidRPr="0076012F" w:rsidRDefault="0076012F" w:rsidP="00871EE8">
            <w:pPr>
              <w:pStyle w:val="BodyText"/>
              <w:numPr>
                <w:ilvl w:val="0"/>
                <w:numId w:val="59"/>
              </w:numPr>
              <w:spacing w:beforeLines="60" w:before="144" w:afterLines="60" w:after="144" w:line="240" w:lineRule="auto"/>
              <w:rPr>
                <w:rFonts w:ascii="Century Gothic" w:hAnsi="Century Gothic" w:cs="Arial"/>
              </w:rPr>
            </w:pPr>
            <w:r w:rsidRPr="0076012F">
              <w:rPr>
                <w:rFonts w:ascii="Century Gothic" w:hAnsi="Century Gothic" w:cs="Arial"/>
              </w:rPr>
              <w:t>After the legal sign-off, finalize the wheeling agreement for implementation.</w:t>
            </w:r>
          </w:p>
          <w:p w14:paraId="44624277" w14:textId="77777777" w:rsidR="00CD4C74" w:rsidRDefault="006228A5" w:rsidP="006228A5">
            <w:pPr>
              <w:pStyle w:val="BodyText"/>
              <w:spacing w:beforeLines="60" w:before="144" w:afterLines="60" w:after="144" w:line="240" w:lineRule="auto"/>
              <w:rPr>
                <w:rFonts w:ascii="Century Gothic" w:hAnsi="Century Gothic"/>
                <w:b/>
                <w:bCs/>
                <w:lang w:val="en-US"/>
              </w:rPr>
            </w:pPr>
            <w:r w:rsidRPr="00AA302E">
              <w:rPr>
                <w:rFonts w:ascii="Century Gothic" w:hAnsi="Century Gothic" w:cs="Arial"/>
                <w:b/>
              </w:rPr>
              <w:t xml:space="preserve">Step </w:t>
            </w:r>
            <w:r>
              <w:rPr>
                <w:rFonts w:ascii="Century Gothic" w:hAnsi="Century Gothic" w:cs="Arial"/>
                <w:b/>
              </w:rPr>
              <w:t>9</w:t>
            </w:r>
            <w:r w:rsidRPr="00AA302E">
              <w:rPr>
                <w:rFonts w:ascii="Century Gothic" w:hAnsi="Century Gothic" w:cs="Arial"/>
                <w:b/>
              </w:rPr>
              <w:t xml:space="preserve">: </w:t>
            </w:r>
            <w:r w:rsidR="00023BE9" w:rsidRPr="00023BE9">
              <w:rPr>
                <w:rFonts w:ascii="Century Gothic" w:hAnsi="Century Gothic"/>
                <w:b/>
                <w:bCs/>
                <w:lang w:val="en-US"/>
              </w:rPr>
              <w:t>Prepare / Upgrade billing system</w:t>
            </w:r>
          </w:p>
          <w:p w14:paraId="1B979A42" w14:textId="67B30C75" w:rsidR="00BD3206" w:rsidRPr="00BD3206" w:rsidRDefault="00BD3206" w:rsidP="00871EE8">
            <w:pPr>
              <w:pStyle w:val="BodyText"/>
              <w:numPr>
                <w:ilvl w:val="0"/>
                <w:numId w:val="59"/>
              </w:numPr>
              <w:spacing w:beforeLines="60" w:before="144" w:afterLines="60" w:after="144" w:line="240" w:lineRule="auto"/>
              <w:rPr>
                <w:rFonts w:ascii="Century Gothic" w:hAnsi="Century Gothic" w:cs="Arial"/>
              </w:rPr>
            </w:pPr>
            <w:r w:rsidRPr="00BD3206">
              <w:rPr>
                <w:rFonts w:ascii="Century Gothic" w:hAnsi="Century Gothic" w:cs="Arial"/>
              </w:rPr>
              <w:t>Assess the capabilities of the existing billing and metering system.</w:t>
            </w:r>
          </w:p>
          <w:p w14:paraId="2205948B" w14:textId="5AF1CBD4" w:rsidR="00BD3206" w:rsidRPr="00BD3206" w:rsidRDefault="00BD3206" w:rsidP="00871EE8">
            <w:pPr>
              <w:pStyle w:val="BodyText"/>
              <w:numPr>
                <w:ilvl w:val="0"/>
                <w:numId w:val="59"/>
              </w:numPr>
              <w:spacing w:beforeLines="60" w:before="144" w:afterLines="60" w:after="144" w:line="240" w:lineRule="auto"/>
              <w:rPr>
                <w:rFonts w:ascii="Century Gothic" w:hAnsi="Century Gothic" w:cs="Arial"/>
              </w:rPr>
            </w:pPr>
            <w:r w:rsidRPr="00BD3206">
              <w:rPr>
                <w:rFonts w:ascii="Century Gothic" w:hAnsi="Century Gothic" w:cs="Arial"/>
              </w:rPr>
              <w:t>Based on the assessment, identify the need for a smart metering system solution integrated with a meter data management system.</w:t>
            </w:r>
          </w:p>
          <w:p w14:paraId="4B2065AC" w14:textId="4DCB17D1" w:rsidR="00BD3206" w:rsidRPr="00BD3206" w:rsidRDefault="00BD3206" w:rsidP="00871EE8">
            <w:pPr>
              <w:pStyle w:val="BodyText"/>
              <w:numPr>
                <w:ilvl w:val="0"/>
                <w:numId w:val="59"/>
              </w:numPr>
              <w:spacing w:beforeLines="60" w:before="144" w:afterLines="60" w:after="144" w:line="240" w:lineRule="auto"/>
              <w:rPr>
                <w:rFonts w:ascii="Century Gothic" w:hAnsi="Century Gothic" w:cs="Arial"/>
              </w:rPr>
            </w:pPr>
            <w:r w:rsidRPr="00BD3206">
              <w:rPr>
                <w:rFonts w:ascii="Century Gothic" w:hAnsi="Century Gothic" w:cs="Arial"/>
              </w:rPr>
              <w:t>Draft a comprehensive list of requirements for the new billing and metering system, considering the complexities introduced by wheeling services.</w:t>
            </w:r>
          </w:p>
          <w:p w14:paraId="34E954C5" w14:textId="035D8AF7" w:rsidR="00BD3206" w:rsidRPr="00BD3206" w:rsidRDefault="00BD3206" w:rsidP="00871EE8">
            <w:pPr>
              <w:pStyle w:val="BodyText"/>
              <w:numPr>
                <w:ilvl w:val="0"/>
                <w:numId w:val="59"/>
              </w:numPr>
              <w:spacing w:beforeLines="60" w:before="144" w:afterLines="60" w:after="144" w:line="240" w:lineRule="auto"/>
              <w:rPr>
                <w:rFonts w:ascii="Century Gothic" w:hAnsi="Century Gothic" w:cs="Arial"/>
              </w:rPr>
            </w:pPr>
            <w:r w:rsidRPr="00BD3206">
              <w:rPr>
                <w:rFonts w:ascii="Century Gothic" w:hAnsi="Century Gothic" w:cs="Arial"/>
              </w:rPr>
              <w:t>Initiate a transparent procurement process to select the right vendor/solution for the billing and smart metering system.</w:t>
            </w:r>
          </w:p>
          <w:p w14:paraId="7665E8DF" w14:textId="36A8D7A2" w:rsidR="00BD3206" w:rsidRPr="00BD3206" w:rsidRDefault="00BD3206" w:rsidP="00871EE8">
            <w:pPr>
              <w:pStyle w:val="BodyText"/>
              <w:numPr>
                <w:ilvl w:val="0"/>
                <w:numId w:val="59"/>
              </w:numPr>
              <w:spacing w:beforeLines="60" w:before="144" w:afterLines="60" w:after="144" w:line="240" w:lineRule="auto"/>
              <w:rPr>
                <w:rFonts w:ascii="Century Gothic" w:hAnsi="Century Gothic" w:cs="Arial"/>
              </w:rPr>
            </w:pPr>
            <w:r w:rsidRPr="00BD3206">
              <w:rPr>
                <w:rFonts w:ascii="Century Gothic" w:hAnsi="Century Gothic" w:cs="Arial"/>
              </w:rPr>
              <w:t>Once procured, integrate the smart metering system with the billing system and conduct test runs to check for glitches.</w:t>
            </w:r>
          </w:p>
          <w:p w14:paraId="3EA3B503" w14:textId="06653AA5" w:rsidR="00BD3206" w:rsidRPr="00BD3206" w:rsidRDefault="00BD3206" w:rsidP="00871EE8">
            <w:pPr>
              <w:pStyle w:val="BodyText"/>
              <w:numPr>
                <w:ilvl w:val="0"/>
                <w:numId w:val="59"/>
              </w:numPr>
              <w:spacing w:beforeLines="60" w:before="144" w:afterLines="60" w:after="144" w:line="240" w:lineRule="auto"/>
              <w:rPr>
                <w:rFonts w:ascii="Century Gothic" w:hAnsi="Century Gothic" w:cs="Arial"/>
              </w:rPr>
            </w:pPr>
            <w:r w:rsidRPr="00BD3206">
              <w:rPr>
                <w:rFonts w:ascii="Century Gothic" w:hAnsi="Century Gothic" w:cs="Arial"/>
              </w:rPr>
              <w:t>Train the relevant personnel to understand and operate the new system.</w:t>
            </w:r>
          </w:p>
          <w:p w14:paraId="296413A0" w14:textId="748788C8" w:rsidR="00BD3206" w:rsidRPr="00BD3206" w:rsidRDefault="00BD3206" w:rsidP="00871EE8">
            <w:pPr>
              <w:pStyle w:val="BodyText"/>
              <w:numPr>
                <w:ilvl w:val="0"/>
                <w:numId w:val="59"/>
              </w:numPr>
              <w:spacing w:beforeLines="60" w:before="144" w:afterLines="60" w:after="144" w:line="240" w:lineRule="auto"/>
              <w:rPr>
                <w:rFonts w:ascii="Century Gothic" w:hAnsi="Century Gothic" w:cs="Arial"/>
              </w:rPr>
            </w:pPr>
            <w:r w:rsidRPr="00BD3206">
              <w:rPr>
                <w:rFonts w:ascii="Century Gothic" w:hAnsi="Century Gothic" w:cs="Arial"/>
              </w:rPr>
              <w:t>Establish a mechanism for users and staff to report any issues or provide feedback on the new system.</w:t>
            </w:r>
          </w:p>
          <w:p w14:paraId="6157361C" w14:textId="2A660FB8" w:rsidR="006228A5" w:rsidRDefault="006228A5" w:rsidP="006228A5">
            <w:pPr>
              <w:pStyle w:val="BodyText"/>
              <w:spacing w:beforeLines="60" w:before="144" w:afterLines="60" w:after="144" w:line="240" w:lineRule="auto"/>
              <w:rPr>
                <w:rFonts w:ascii="Century Gothic" w:hAnsi="Century Gothic"/>
                <w:b/>
                <w:bCs/>
                <w:lang w:val="en-US"/>
              </w:rPr>
            </w:pPr>
            <w:r>
              <w:rPr>
                <w:rFonts w:ascii="Century Gothic" w:hAnsi="Century Gothic"/>
                <w:b/>
                <w:bCs/>
              </w:rPr>
              <w:t xml:space="preserve">Step 10: </w:t>
            </w:r>
            <w:r w:rsidR="002E6948">
              <w:rPr>
                <w:rFonts w:ascii="Century Gothic" w:hAnsi="Century Gothic"/>
                <w:b/>
                <w:bCs/>
                <w:lang w:val="en-US"/>
              </w:rPr>
              <w:t>Testing</w:t>
            </w:r>
            <w:r w:rsidRPr="006228A5">
              <w:rPr>
                <w:rFonts w:ascii="Century Gothic" w:hAnsi="Century Gothic"/>
                <w:b/>
                <w:bCs/>
                <w:lang w:val="en-US"/>
              </w:rPr>
              <w:t xml:space="preserve"> project</w:t>
            </w:r>
            <w:r w:rsidR="00F00F33">
              <w:rPr>
                <w:rFonts w:ascii="Century Gothic" w:hAnsi="Century Gothic"/>
                <w:b/>
                <w:bCs/>
                <w:lang w:val="en-US"/>
              </w:rPr>
              <w:t>, if required</w:t>
            </w:r>
          </w:p>
          <w:p w14:paraId="20145DD2" w14:textId="5E412DE0" w:rsidR="00A4170E" w:rsidRPr="00A4170E" w:rsidRDefault="00A4170E" w:rsidP="00871EE8">
            <w:pPr>
              <w:pStyle w:val="BodyText"/>
              <w:numPr>
                <w:ilvl w:val="0"/>
                <w:numId w:val="59"/>
              </w:numPr>
              <w:spacing w:beforeLines="60" w:before="144" w:afterLines="60" w:after="144" w:line="240" w:lineRule="auto"/>
              <w:rPr>
                <w:rFonts w:ascii="Century Gothic" w:hAnsi="Century Gothic" w:cs="Arial"/>
              </w:rPr>
            </w:pPr>
            <w:r w:rsidRPr="00A4170E">
              <w:rPr>
                <w:rFonts w:ascii="Century Gothic" w:hAnsi="Century Gothic" w:cs="Arial"/>
              </w:rPr>
              <w:lastRenderedPageBreak/>
              <w:t>Identify a small group of customers to trial the wheeling service.</w:t>
            </w:r>
          </w:p>
          <w:p w14:paraId="48600F5D" w14:textId="0589D36E" w:rsidR="00A4170E" w:rsidRPr="00A4170E" w:rsidRDefault="00A4170E" w:rsidP="00871EE8">
            <w:pPr>
              <w:pStyle w:val="BodyText"/>
              <w:numPr>
                <w:ilvl w:val="0"/>
                <w:numId w:val="59"/>
              </w:numPr>
              <w:spacing w:beforeLines="60" w:before="144" w:afterLines="60" w:after="144" w:line="240" w:lineRule="auto"/>
              <w:rPr>
                <w:rFonts w:ascii="Century Gothic" w:hAnsi="Century Gothic" w:cs="Arial"/>
              </w:rPr>
            </w:pPr>
            <w:r w:rsidRPr="00A4170E">
              <w:rPr>
                <w:rFonts w:ascii="Century Gothic" w:hAnsi="Century Gothic" w:cs="Arial"/>
              </w:rPr>
              <w:t>Set a specific timeframe for the pilot, e.g., 6 months.</w:t>
            </w:r>
          </w:p>
          <w:p w14:paraId="283A46F7" w14:textId="1380C967" w:rsidR="00A4170E" w:rsidRPr="00A4170E" w:rsidRDefault="00A4170E" w:rsidP="00871EE8">
            <w:pPr>
              <w:pStyle w:val="BodyText"/>
              <w:numPr>
                <w:ilvl w:val="0"/>
                <w:numId w:val="59"/>
              </w:numPr>
              <w:spacing w:beforeLines="60" w:before="144" w:afterLines="60" w:after="144" w:line="240" w:lineRule="auto"/>
              <w:rPr>
                <w:rFonts w:ascii="Century Gothic" w:hAnsi="Century Gothic" w:cs="Arial"/>
              </w:rPr>
            </w:pPr>
            <w:r w:rsidRPr="00A4170E">
              <w:rPr>
                <w:rFonts w:ascii="Century Gothic" w:hAnsi="Century Gothic" w:cs="Arial"/>
              </w:rPr>
              <w:t>Continuously monitor the process, noting successes and areas of concern.</w:t>
            </w:r>
          </w:p>
          <w:p w14:paraId="608E6CC6" w14:textId="4FB958C7" w:rsidR="00A4170E" w:rsidRDefault="00A4170E" w:rsidP="00871EE8">
            <w:pPr>
              <w:pStyle w:val="BodyText"/>
              <w:numPr>
                <w:ilvl w:val="0"/>
                <w:numId w:val="59"/>
              </w:numPr>
              <w:spacing w:beforeLines="60" w:before="144" w:afterLines="60" w:after="144" w:line="240" w:lineRule="auto"/>
              <w:rPr>
                <w:rFonts w:ascii="Century Gothic" w:hAnsi="Century Gothic" w:cs="Arial"/>
              </w:rPr>
            </w:pPr>
            <w:r w:rsidRPr="00A4170E">
              <w:rPr>
                <w:rFonts w:ascii="Century Gothic" w:hAnsi="Century Gothic" w:cs="Arial"/>
              </w:rPr>
              <w:t>At the end of the pilot, gather feedback from participants</w:t>
            </w:r>
            <w:r>
              <w:rPr>
                <w:rFonts w:ascii="Century Gothic" w:hAnsi="Century Gothic" w:cs="Arial"/>
              </w:rPr>
              <w:t xml:space="preserve"> and m</w:t>
            </w:r>
            <w:r w:rsidRPr="00A4170E">
              <w:rPr>
                <w:rFonts w:ascii="Century Gothic" w:hAnsi="Century Gothic" w:cs="Arial"/>
              </w:rPr>
              <w:t>ake necessary adjustments based on lessons learned during the pilot.</w:t>
            </w:r>
          </w:p>
          <w:p w14:paraId="768553A9" w14:textId="67D6E807" w:rsidR="006A1053" w:rsidRPr="00A4170E" w:rsidRDefault="006A1053" w:rsidP="00871EE8">
            <w:pPr>
              <w:pStyle w:val="BodyText"/>
              <w:numPr>
                <w:ilvl w:val="0"/>
                <w:numId w:val="59"/>
              </w:numPr>
              <w:spacing w:beforeLines="60" w:before="144" w:afterLines="60" w:after="144" w:line="240" w:lineRule="auto"/>
              <w:rPr>
                <w:rFonts w:ascii="Century Gothic" w:hAnsi="Century Gothic" w:cs="Arial"/>
              </w:rPr>
            </w:pPr>
            <w:r>
              <w:rPr>
                <w:rFonts w:ascii="Century Gothic" w:hAnsi="Century Gothic" w:cs="Arial"/>
              </w:rPr>
              <w:t xml:space="preserve">The </w:t>
            </w:r>
            <w:r w:rsidR="00D86D37">
              <w:rPr>
                <w:rFonts w:ascii="Century Gothic" w:hAnsi="Century Gothic" w:cs="Arial"/>
              </w:rPr>
              <w:t>Municipality</w:t>
            </w:r>
            <w:r>
              <w:rPr>
                <w:rFonts w:ascii="Century Gothic" w:hAnsi="Century Gothic" w:cs="Arial"/>
              </w:rPr>
              <w:t xml:space="preserve"> is note that this step can be </w:t>
            </w:r>
          </w:p>
          <w:p w14:paraId="4392465F" w14:textId="3A8C3745" w:rsidR="006228A5" w:rsidRDefault="006228A5" w:rsidP="006228A5">
            <w:pPr>
              <w:pStyle w:val="BodyText"/>
              <w:spacing w:beforeLines="60" w:before="144" w:afterLines="60" w:after="144" w:line="240" w:lineRule="auto"/>
              <w:rPr>
                <w:rFonts w:ascii="Century Gothic" w:hAnsi="Century Gothic"/>
                <w:b/>
                <w:bCs/>
                <w:lang w:val="en-US"/>
              </w:rPr>
            </w:pPr>
            <w:r>
              <w:rPr>
                <w:rFonts w:ascii="Century Gothic" w:hAnsi="Century Gothic"/>
                <w:b/>
                <w:bCs/>
                <w:lang w:val="en-US"/>
              </w:rPr>
              <w:t>Step 11:</w:t>
            </w:r>
            <w:r w:rsidR="004D5E4E">
              <w:rPr>
                <w:rFonts w:ascii="Century Gothic" w:hAnsi="Century Gothic"/>
                <w:b/>
                <w:bCs/>
                <w:lang w:val="en-US"/>
              </w:rPr>
              <w:t xml:space="preserve"> </w:t>
            </w:r>
            <w:r w:rsidR="004D5E4E" w:rsidRPr="004D5E4E">
              <w:rPr>
                <w:rFonts w:ascii="Century Gothic" w:hAnsi="Century Gothic"/>
                <w:b/>
                <w:bCs/>
                <w:lang w:val="en-US"/>
              </w:rPr>
              <w:t xml:space="preserve">Open </w:t>
            </w:r>
            <w:r w:rsidR="00B2348D">
              <w:rPr>
                <w:rFonts w:ascii="Century Gothic" w:hAnsi="Century Gothic"/>
                <w:b/>
                <w:bCs/>
                <w:lang w:val="en-US"/>
              </w:rPr>
              <w:t>third-party</w:t>
            </w:r>
            <w:r w:rsidR="00F00F33">
              <w:rPr>
                <w:rFonts w:ascii="Century Gothic" w:hAnsi="Century Gothic"/>
                <w:b/>
                <w:bCs/>
                <w:lang w:val="en-US"/>
              </w:rPr>
              <w:t xml:space="preserve"> </w:t>
            </w:r>
            <w:r w:rsidR="004D5E4E" w:rsidRPr="004D5E4E">
              <w:rPr>
                <w:rFonts w:ascii="Century Gothic" w:hAnsi="Century Gothic"/>
                <w:b/>
                <w:bCs/>
                <w:lang w:val="en-US"/>
              </w:rPr>
              <w:t>wheeling market</w:t>
            </w:r>
          </w:p>
          <w:p w14:paraId="5C58523C" w14:textId="3B868F03" w:rsidR="006031BD" w:rsidRPr="006031BD" w:rsidRDefault="006031BD" w:rsidP="00871EE8">
            <w:pPr>
              <w:pStyle w:val="BodyText"/>
              <w:numPr>
                <w:ilvl w:val="0"/>
                <w:numId w:val="59"/>
              </w:numPr>
              <w:spacing w:beforeLines="60" w:before="144" w:afterLines="60" w:after="144" w:line="240" w:lineRule="auto"/>
              <w:rPr>
                <w:rFonts w:ascii="Century Gothic" w:hAnsi="Century Gothic" w:cs="Arial"/>
              </w:rPr>
            </w:pPr>
            <w:r w:rsidRPr="006031BD">
              <w:rPr>
                <w:rFonts w:ascii="Century Gothic" w:hAnsi="Century Gothic" w:cs="Arial"/>
              </w:rPr>
              <w:t>Announce the official launch of the wheeling service to the public.</w:t>
            </w:r>
          </w:p>
          <w:p w14:paraId="4357B0EC" w14:textId="34294028" w:rsidR="006031BD" w:rsidRPr="006031BD" w:rsidRDefault="006031BD" w:rsidP="00871EE8">
            <w:pPr>
              <w:pStyle w:val="BodyText"/>
              <w:numPr>
                <w:ilvl w:val="0"/>
                <w:numId w:val="59"/>
              </w:numPr>
              <w:spacing w:beforeLines="60" w:before="144" w:afterLines="60" w:after="144" w:line="240" w:lineRule="auto"/>
              <w:rPr>
                <w:rFonts w:ascii="Century Gothic" w:hAnsi="Century Gothic" w:cs="Arial"/>
              </w:rPr>
            </w:pPr>
            <w:r w:rsidRPr="006031BD">
              <w:rPr>
                <w:rFonts w:ascii="Century Gothic" w:hAnsi="Century Gothic" w:cs="Arial"/>
              </w:rPr>
              <w:t>Make the application process clear and accessible to all potential users.</w:t>
            </w:r>
          </w:p>
          <w:p w14:paraId="162B2182" w14:textId="0B9ED795" w:rsidR="006031BD" w:rsidRPr="006031BD" w:rsidRDefault="006031BD" w:rsidP="00871EE8">
            <w:pPr>
              <w:pStyle w:val="BodyText"/>
              <w:numPr>
                <w:ilvl w:val="0"/>
                <w:numId w:val="59"/>
              </w:numPr>
              <w:spacing w:beforeLines="60" w:before="144" w:afterLines="60" w:after="144" w:line="240" w:lineRule="auto"/>
              <w:rPr>
                <w:rFonts w:ascii="Century Gothic" w:hAnsi="Century Gothic" w:cs="Arial"/>
              </w:rPr>
            </w:pPr>
            <w:r w:rsidRPr="006031BD">
              <w:rPr>
                <w:rFonts w:ascii="Century Gothic" w:hAnsi="Century Gothic" w:cs="Arial"/>
              </w:rPr>
              <w:t xml:space="preserve">Set up a helpline or support </w:t>
            </w:r>
            <w:r w:rsidR="00AD2FB4" w:rsidRPr="006031BD">
              <w:rPr>
                <w:rFonts w:ascii="Century Gothic" w:hAnsi="Century Gothic" w:cs="Arial"/>
              </w:rPr>
              <w:t>centre</w:t>
            </w:r>
            <w:r w:rsidRPr="006031BD">
              <w:rPr>
                <w:rFonts w:ascii="Century Gothic" w:hAnsi="Century Gothic" w:cs="Arial"/>
              </w:rPr>
              <w:t xml:space="preserve"> to assist users with their queries or concerns.</w:t>
            </w:r>
          </w:p>
          <w:p w14:paraId="0FB12E8E" w14:textId="61CFB269" w:rsidR="006031BD" w:rsidRPr="006031BD" w:rsidRDefault="006031BD" w:rsidP="00871EE8">
            <w:pPr>
              <w:pStyle w:val="BodyText"/>
              <w:numPr>
                <w:ilvl w:val="0"/>
                <w:numId w:val="59"/>
              </w:numPr>
              <w:spacing w:beforeLines="60" w:before="144" w:afterLines="60" w:after="144" w:line="240" w:lineRule="auto"/>
              <w:rPr>
                <w:rFonts w:ascii="Century Gothic" w:hAnsi="Century Gothic" w:cs="Arial"/>
              </w:rPr>
            </w:pPr>
            <w:r w:rsidRPr="006031BD">
              <w:rPr>
                <w:rFonts w:ascii="Century Gothic" w:hAnsi="Century Gothic" w:cs="Arial"/>
              </w:rPr>
              <w:t>Consistently monitor the system, addressing any issues or concerns that arise.</w:t>
            </w:r>
          </w:p>
          <w:p w14:paraId="2DB8DC4D" w14:textId="77FC5BDB" w:rsidR="006031BD" w:rsidRPr="006228A5" w:rsidRDefault="006031BD" w:rsidP="00871EE8">
            <w:pPr>
              <w:pStyle w:val="BodyText"/>
              <w:numPr>
                <w:ilvl w:val="0"/>
                <w:numId w:val="59"/>
              </w:numPr>
              <w:spacing w:beforeLines="60" w:before="144" w:afterLines="60" w:after="144" w:line="240" w:lineRule="auto"/>
              <w:rPr>
                <w:rFonts w:ascii="Century Gothic" w:hAnsi="Century Gothic"/>
                <w:b/>
                <w:bCs/>
              </w:rPr>
            </w:pPr>
            <w:r w:rsidRPr="006031BD">
              <w:rPr>
                <w:rFonts w:ascii="Century Gothic" w:hAnsi="Century Gothic" w:cs="Arial"/>
              </w:rPr>
              <w:t>Periodically review the service, making necessary adjustments and improvements as needed.</w:t>
            </w:r>
          </w:p>
        </w:tc>
      </w:tr>
      <w:tr w:rsidR="00CC5515" w:rsidRPr="00E55368" w14:paraId="5BBF06C5" w14:textId="77777777" w:rsidTr="00831A39">
        <w:tc>
          <w:tcPr>
            <w:tcW w:w="1560" w:type="dxa"/>
            <w:shd w:val="clear" w:color="auto" w:fill="31849B" w:themeFill="accent5" w:themeFillShade="BF"/>
          </w:tcPr>
          <w:p w14:paraId="628176B4" w14:textId="1CA18C28" w:rsidR="00CC5515" w:rsidRPr="00C4302F" w:rsidRDefault="00097E29" w:rsidP="00F77BB4">
            <w:pPr>
              <w:pBdr>
                <w:top w:val="nil"/>
                <w:left w:val="nil"/>
                <w:bottom w:val="nil"/>
                <w:right w:val="nil"/>
                <w:between w:val="nil"/>
              </w:pBdr>
              <w:spacing w:after="0"/>
              <w:rPr>
                <w:rFonts w:ascii="Century Gothic" w:hAnsi="Century Gothic"/>
                <w:b/>
                <w:color w:val="FFFFFF" w:themeColor="background1"/>
                <w:sz w:val="24"/>
                <w:szCs w:val="24"/>
              </w:rPr>
            </w:pPr>
            <w:r w:rsidRPr="00C4302F">
              <w:rPr>
                <w:rFonts w:ascii="Century Gothic" w:hAnsi="Century Gothic"/>
                <w:b/>
                <w:color w:val="FFFFFF" w:themeColor="background1"/>
                <w:sz w:val="24"/>
                <w:szCs w:val="24"/>
              </w:rPr>
              <w:lastRenderedPageBreak/>
              <w:t xml:space="preserve">How this document </w:t>
            </w:r>
            <w:r w:rsidR="007C3195" w:rsidRPr="00C4302F">
              <w:rPr>
                <w:rFonts w:ascii="Century Gothic" w:hAnsi="Century Gothic"/>
                <w:b/>
                <w:color w:val="FFFFFF" w:themeColor="background1"/>
                <w:sz w:val="24"/>
                <w:szCs w:val="24"/>
              </w:rPr>
              <w:t>must be used</w:t>
            </w:r>
          </w:p>
        </w:tc>
        <w:tc>
          <w:tcPr>
            <w:tcW w:w="8080" w:type="dxa"/>
            <w:shd w:val="clear" w:color="auto" w:fill="auto"/>
          </w:tcPr>
          <w:p w14:paraId="32B8FDB9" w14:textId="32F44BCC" w:rsidR="001E3907" w:rsidRPr="001E3907" w:rsidRDefault="009F6A7D" w:rsidP="00E03BB2">
            <w:pPr>
              <w:pStyle w:val="BodyText"/>
              <w:spacing w:beforeLines="60" w:before="144" w:afterLines="60" w:after="144" w:line="240" w:lineRule="auto"/>
              <w:rPr>
                <w:rFonts w:ascii="Century Gothic" w:hAnsi="Century Gothic" w:cs="Arial"/>
              </w:rPr>
            </w:pPr>
            <w:r>
              <w:rPr>
                <w:rFonts w:ascii="Century Gothic" w:hAnsi="Century Gothic" w:cs="Arial"/>
              </w:rPr>
              <w:t>T</w:t>
            </w:r>
            <w:r w:rsidRPr="001E3907">
              <w:rPr>
                <w:rFonts w:ascii="Century Gothic" w:hAnsi="Century Gothic" w:cs="Arial"/>
              </w:rPr>
              <w:t>his document serves as a comprehensive resource</w:t>
            </w:r>
            <w:r>
              <w:rPr>
                <w:rFonts w:ascii="Century Gothic" w:hAnsi="Century Gothic" w:cs="Arial"/>
              </w:rPr>
              <w:t xml:space="preserve"> </w:t>
            </w:r>
            <w:r w:rsidR="005E39DF">
              <w:rPr>
                <w:rFonts w:ascii="Century Gothic" w:hAnsi="Century Gothic" w:cs="Arial"/>
              </w:rPr>
              <w:t>to</w:t>
            </w:r>
            <w:r w:rsidR="00097E29" w:rsidRPr="001E3907">
              <w:rPr>
                <w:rFonts w:ascii="Century Gothic" w:hAnsi="Century Gothic" w:cs="Arial"/>
              </w:rPr>
              <w:t xml:space="preserve"> </w:t>
            </w:r>
            <w:r w:rsidR="001E3907" w:rsidRPr="001E3907">
              <w:rPr>
                <w:rFonts w:ascii="Century Gothic" w:hAnsi="Century Gothic" w:cs="Arial"/>
              </w:rPr>
              <w:t>effectively develop</w:t>
            </w:r>
            <w:r w:rsidR="00097E29" w:rsidRPr="001E3907">
              <w:rPr>
                <w:rFonts w:ascii="Century Gothic" w:hAnsi="Century Gothic" w:cs="Arial"/>
              </w:rPr>
              <w:t xml:space="preserve"> the wheeling service guidelines and </w:t>
            </w:r>
            <w:r w:rsidR="001E3907" w:rsidRPr="001E3907">
              <w:rPr>
                <w:rFonts w:ascii="Century Gothic" w:hAnsi="Century Gothic" w:cs="Arial"/>
              </w:rPr>
              <w:t>processes,</w:t>
            </w:r>
            <w:r w:rsidR="00097E29" w:rsidRPr="001E3907">
              <w:rPr>
                <w:rFonts w:ascii="Century Gothic" w:hAnsi="Century Gothic" w:cs="Arial"/>
              </w:rPr>
              <w:t xml:space="preserve"> as </w:t>
            </w:r>
            <w:r w:rsidR="001E3907" w:rsidRPr="001E3907">
              <w:rPr>
                <w:rFonts w:ascii="Century Gothic" w:hAnsi="Century Gothic" w:cs="Arial"/>
              </w:rPr>
              <w:t xml:space="preserve">outlined in </w:t>
            </w:r>
            <w:r w:rsidR="00097E29" w:rsidRPr="001E3907">
              <w:rPr>
                <w:rFonts w:ascii="Century Gothic" w:hAnsi="Century Gothic" w:cs="Arial"/>
              </w:rPr>
              <w:t xml:space="preserve">step </w:t>
            </w:r>
            <w:r w:rsidR="005E39DF" w:rsidRPr="001E3907">
              <w:rPr>
                <w:rFonts w:ascii="Century Gothic" w:hAnsi="Century Gothic" w:cs="Arial"/>
              </w:rPr>
              <w:t>2</w:t>
            </w:r>
            <w:r w:rsidR="005E39DF">
              <w:rPr>
                <w:rFonts w:ascii="Century Gothic" w:hAnsi="Century Gothic" w:cs="Arial"/>
              </w:rPr>
              <w:t>.</w:t>
            </w:r>
            <w:r w:rsidR="001E3907" w:rsidRPr="001E3907">
              <w:rPr>
                <w:rFonts w:ascii="Century Gothic" w:hAnsi="Century Gothic" w:cs="Arial"/>
              </w:rPr>
              <w:t xml:space="preserve"> It </w:t>
            </w:r>
            <w:r w:rsidR="007C3195" w:rsidRPr="001E3907">
              <w:rPr>
                <w:rFonts w:ascii="Century Gothic" w:hAnsi="Century Gothic" w:cs="Arial"/>
              </w:rPr>
              <w:t xml:space="preserve">provides the </w:t>
            </w:r>
            <w:r w:rsidR="001E3907" w:rsidRPr="001E3907">
              <w:rPr>
                <w:rFonts w:ascii="Century Gothic" w:hAnsi="Century Gothic" w:cs="Arial"/>
              </w:rPr>
              <w:t xml:space="preserve">necessary </w:t>
            </w:r>
            <w:r w:rsidR="007A638A" w:rsidRPr="001E3907">
              <w:rPr>
                <w:rFonts w:ascii="Century Gothic" w:hAnsi="Century Gothic" w:cs="Arial"/>
              </w:rPr>
              <w:t xml:space="preserve">content and </w:t>
            </w:r>
            <w:r w:rsidR="001E3907" w:rsidRPr="001E3907">
              <w:rPr>
                <w:rFonts w:ascii="Century Gothic" w:hAnsi="Century Gothic" w:cs="Arial"/>
              </w:rPr>
              <w:t>materials</w:t>
            </w:r>
            <w:r w:rsidR="007A638A" w:rsidRPr="001E3907">
              <w:rPr>
                <w:rFonts w:ascii="Century Gothic" w:hAnsi="Century Gothic" w:cs="Arial"/>
              </w:rPr>
              <w:t xml:space="preserve"> to assist the Municipality </w:t>
            </w:r>
            <w:r w:rsidR="001E3907" w:rsidRPr="001E3907">
              <w:rPr>
                <w:rFonts w:ascii="Century Gothic" w:hAnsi="Century Gothic" w:cs="Arial"/>
              </w:rPr>
              <w:t xml:space="preserve">in establishing a solid foundation for their wheeling framework. The information presented in this guide offers </w:t>
            </w:r>
            <w:r w:rsidR="007A638A" w:rsidRPr="001E3907">
              <w:rPr>
                <w:rFonts w:ascii="Century Gothic" w:hAnsi="Century Gothic" w:cs="Arial"/>
              </w:rPr>
              <w:t xml:space="preserve">a base template that can </w:t>
            </w:r>
            <w:r w:rsidR="001E3907" w:rsidRPr="001E3907">
              <w:rPr>
                <w:rFonts w:ascii="Century Gothic" w:hAnsi="Century Gothic" w:cs="Arial"/>
              </w:rPr>
              <w:t xml:space="preserve">be </w:t>
            </w:r>
            <w:r w:rsidR="007A638A" w:rsidRPr="001E3907">
              <w:rPr>
                <w:rFonts w:ascii="Century Gothic" w:hAnsi="Century Gothic" w:cs="Arial"/>
              </w:rPr>
              <w:t>modified t</w:t>
            </w:r>
            <w:r w:rsidR="00ED793D" w:rsidRPr="001E3907">
              <w:rPr>
                <w:rFonts w:ascii="Century Gothic" w:hAnsi="Century Gothic" w:cs="Arial"/>
              </w:rPr>
              <w:t xml:space="preserve">o </w:t>
            </w:r>
            <w:r w:rsidR="001E3907" w:rsidRPr="001E3907">
              <w:rPr>
                <w:rFonts w:ascii="Century Gothic" w:hAnsi="Century Gothic" w:cs="Arial"/>
              </w:rPr>
              <w:t>suit</w:t>
            </w:r>
            <w:r w:rsidR="00ED793D" w:rsidRPr="001E3907">
              <w:rPr>
                <w:rFonts w:ascii="Century Gothic" w:hAnsi="Century Gothic" w:cs="Arial"/>
              </w:rPr>
              <w:t xml:space="preserve"> the </w:t>
            </w:r>
            <w:r w:rsidR="001E3907" w:rsidRPr="001E3907">
              <w:rPr>
                <w:rFonts w:ascii="Century Gothic" w:hAnsi="Century Gothic" w:cs="Arial"/>
              </w:rPr>
              <w:t xml:space="preserve">specific needs and requirements of the </w:t>
            </w:r>
            <w:r w:rsidR="00ED793D" w:rsidRPr="001E3907">
              <w:rPr>
                <w:rFonts w:ascii="Century Gothic" w:hAnsi="Century Gothic" w:cs="Arial"/>
              </w:rPr>
              <w:t>Municipality</w:t>
            </w:r>
            <w:r w:rsidR="001E3907" w:rsidRPr="001E3907">
              <w:rPr>
                <w:rFonts w:ascii="Century Gothic" w:hAnsi="Century Gothic" w:cs="Arial"/>
              </w:rPr>
              <w:t>.</w:t>
            </w:r>
          </w:p>
          <w:p w14:paraId="69C0F61F" w14:textId="573D4F79" w:rsidR="00682AEA" w:rsidRDefault="001E3907" w:rsidP="00E03BB2">
            <w:pPr>
              <w:pStyle w:val="BodyText"/>
              <w:spacing w:beforeLines="60" w:before="144" w:afterLines="60" w:after="144" w:line="240" w:lineRule="auto"/>
              <w:rPr>
                <w:rFonts w:ascii="Century Gothic" w:hAnsi="Century Gothic" w:cs="Arial"/>
              </w:rPr>
            </w:pPr>
            <w:r w:rsidRPr="001E3907">
              <w:rPr>
                <w:rFonts w:ascii="Century Gothic" w:hAnsi="Century Gothic" w:cs="Arial"/>
              </w:rPr>
              <w:t>The guide is divided into various sections, each addressing key aspects of the wheeling process and providing valuable insights and recommendations. Within each section, you will find detailed explanations and instructions to support the Municipality in developing their own customized wheeling framework.</w:t>
            </w:r>
          </w:p>
          <w:p w14:paraId="7A614E0B" w14:textId="1BBEFF5E" w:rsidR="00023485" w:rsidRPr="00EF248C" w:rsidRDefault="00120C23" w:rsidP="00E03BB2">
            <w:pPr>
              <w:pStyle w:val="BodyText"/>
              <w:spacing w:beforeLines="60" w:before="144" w:afterLines="60" w:after="144" w:line="240" w:lineRule="auto"/>
              <w:rPr>
                <w:rFonts w:ascii="Century Gothic" w:hAnsi="Century Gothic" w:cs="Arial"/>
              </w:rPr>
            </w:pPr>
            <w:r>
              <w:rPr>
                <w:rFonts w:ascii="Century Gothic" w:hAnsi="Century Gothic" w:cs="Arial"/>
              </w:rPr>
              <w:t xml:space="preserve">At the </w:t>
            </w:r>
            <w:r w:rsidR="008C68EA">
              <w:rPr>
                <w:rFonts w:ascii="Century Gothic" w:hAnsi="Century Gothic" w:cs="Arial"/>
              </w:rPr>
              <w:t>start of the section there is an</w:t>
            </w:r>
            <w:r w:rsidR="00482071">
              <w:rPr>
                <w:rFonts w:ascii="Segoe UI Emoji" w:hAnsi="Segoe UI Emoji" w:cs="Segoe UI Emoji"/>
              </w:rPr>
              <w:t>‘</w:t>
            </w:r>
            <w:r w:rsidR="00482071" w:rsidRPr="009C5B78">
              <w:rPr>
                <w:rFonts w:ascii="Segoe UI Emoji" w:hAnsi="Segoe UI Emoji" w:cs="Segoe UI Emoji"/>
                <w:b/>
                <w:bCs/>
              </w:rPr>
              <w:t>’</w:t>
            </w:r>
            <w:r w:rsidR="00EF248C" w:rsidRPr="009C5B78">
              <w:rPr>
                <w:rFonts w:ascii="Segoe UI Emoji" w:hAnsi="Segoe UI Emoji" w:cs="Segoe UI Emoji"/>
                <w:b/>
                <w:bCs/>
              </w:rPr>
              <w:t>🔍</w:t>
            </w:r>
            <w:r w:rsidR="00EF248C" w:rsidRPr="009C5B78">
              <w:rPr>
                <w:rFonts w:ascii="Century Gothic" w:hAnsi="Century Gothic" w:cs="Arial"/>
                <w:b/>
                <w:bCs/>
              </w:rPr>
              <w:t xml:space="preserve"> Explanatory notes</w:t>
            </w:r>
            <w:r w:rsidR="00482071">
              <w:rPr>
                <w:rFonts w:ascii="Century Gothic" w:hAnsi="Century Gothic" w:cs="Arial"/>
                <w:b/>
                <w:bCs/>
              </w:rPr>
              <w:t>’’</w:t>
            </w:r>
            <w:r w:rsidR="008C68EA" w:rsidRPr="009C5B78">
              <w:rPr>
                <w:rFonts w:ascii="Century Gothic" w:hAnsi="Century Gothic" w:cs="Arial"/>
                <w:b/>
                <w:bCs/>
              </w:rPr>
              <w:t xml:space="preserve"> </w:t>
            </w:r>
            <w:r w:rsidR="0076410F" w:rsidRPr="00831A39">
              <w:rPr>
                <w:rFonts w:ascii="Century Gothic" w:hAnsi="Century Gothic" w:cs="Arial"/>
              </w:rPr>
              <w:t>section</w:t>
            </w:r>
            <w:r w:rsidR="0076410F">
              <w:rPr>
                <w:rFonts w:ascii="Century Gothic" w:hAnsi="Century Gothic" w:cs="Arial"/>
                <w:b/>
                <w:bCs/>
              </w:rPr>
              <w:t xml:space="preserve"> </w:t>
            </w:r>
            <w:r w:rsidR="00023485">
              <w:rPr>
                <w:rFonts w:ascii="Century Gothic" w:hAnsi="Century Gothic" w:cs="Arial"/>
              </w:rPr>
              <w:t xml:space="preserve">which </w:t>
            </w:r>
            <w:r w:rsidR="00023485" w:rsidRPr="00EF248C">
              <w:rPr>
                <w:rFonts w:ascii="Century Gothic" w:hAnsi="Century Gothic" w:cs="Arial"/>
              </w:rPr>
              <w:t>refer</w:t>
            </w:r>
            <w:r w:rsidR="00A86E09">
              <w:rPr>
                <w:rFonts w:ascii="Century Gothic" w:hAnsi="Century Gothic" w:cs="Arial"/>
              </w:rPr>
              <w:t>s</w:t>
            </w:r>
            <w:r w:rsidR="00023485" w:rsidRPr="00023485">
              <w:rPr>
                <w:rFonts w:ascii="Century Gothic" w:hAnsi="Century Gothic" w:cs="Arial"/>
              </w:rPr>
              <w:t xml:space="preserve"> to additional information, explanations, or clarifications provided in written documents or guidelines to enhance understanding, provide context, or elaborate on specific points.</w:t>
            </w:r>
          </w:p>
          <w:p w14:paraId="22EC89BD" w14:textId="7436B828" w:rsidR="003A2B63" w:rsidRDefault="00C22938" w:rsidP="00E03BB2">
            <w:pPr>
              <w:pStyle w:val="BodyText"/>
              <w:spacing w:beforeLines="60" w:before="144" w:afterLines="60" w:after="144" w:line="240" w:lineRule="auto"/>
              <w:rPr>
                <w:rFonts w:ascii="Century Gothic" w:hAnsi="Century Gothic" w:cs="Arial"/>
              </w:rPr>
            </w:pPr>
            <w:r>
              <w:rPr>
                <w:rFonts w:ascii="Segoe UI Emoji" w:hAnsi="Segoe UI Emoji" w:cs="Segoe UI Emoji"/>
              </w:rPr>
              <w:t>The ‘</w:t>
            </w:r>
            <w:r w:rsidRPr="009C5B78">
              <w:rPr>
                <w:rFonts w:ascii="Segoe UI Emoji" w:hAnsi="Segoe UI Emoji" w:cs="Segoe UI Emoji"/>
                <w:b/>
                <w:bCs/>
              </w:rPr>
              <w:t>’</w:t>
            </w:r>
            <w:r w:rsidR="00EF248C" w:rsidRPr="009C5B78">
              <w:rPr>
                <w:rFonts w:ascii="Segoe UI Emoji" w:hAnsi="Segoe UI Emoji" w:cs="Segoe UI Emoji"/>
                <w:b/>
                <w:bCs/>
              </w:rPr>
              <w:t>💡</w:t>
            </w:r>
            <w:r w:rsidR="00EF248C" w:rsidRPr="009C5B78">
              <w:rPr>
                <w:rFonts w:ascii="Century Gothic" w:hAnsi="Century Gothic" w:cs="Arial"/>
                <w:b/>
                <w:bCs/>
              </w:rPr>
              <w:t>Illustrative example</w:t>
            </w:r>
            <w:r w:rsidRPr="009C5B78">
              <w:rPr>
                <w:rFonts w:ascii="Century Gothic" w:hAnsi="Century Gothic" w:cs="Arial"/>
                <w:b/>
                <w:bCs/>
              </w:rPr>
              <w:t>’’</w:t>
            </w:r>
            <w:r>
              <w:rPr>
                <w:rFonts w:ascii="Century Gothic" w:hAnsi="Century Gothic" w:cs="Arial"/>
              </w:rPr>
              <w:t xml:space="preserve"> </w:t>
            </w:r>
            <w:r w:rsidR="00ED5D25">
              <w:rPr>
                <w:rFonts w:ascii="Century Gothic" w:hAnsi="Century Gothic" w:cs="Arial"/>
              </w:rPr>
              <w:t xml:space="preserve">section </w:t>
            </w:r>
            <w:r w:rsidR="009E5952">
              <w:rPr>
                <w:rFonts w:ascii="Century Gothic" w:hAnsi="Century Gothic" w:cs="Arial"/>
              </w:rPr>
              <w:t xml:space="preserve">then </w:t>
            </w:r>
            <w:r w:rsidR="009E5952" w:rsidRPr="009E5952">
              <w:rPr>
                <w:rFonts w:ascii="Century Gothic" w:hAnsi="Century Gothic" w:cs="Arial"/>
              </w:rPr>
              <w:t xml:space="preserve">helps the </w:t>
            </w:r>
            <w:r w:rsidR="00CC6D7D">
              <w:rPr>
                <w:rFonts w:ascii="Century Gothic" w:hAnsi="Century Gothic" w:cs="Arial"/>
              </w:rPr>
              <w:t>Municipality</w:t>
            </w:r>
            <w:r w:rsidR="009E5952" w:rsidRPr="009E5952">
              <w:rPr>
                <w:rFonts w:ascii="Century Gothic" w:hAnsi="Century Gothic" w:cs="Arial"/>
              </w:rPr>
              <w:t xml:space="preserve"> or </w:t>
            </w:r>
            <w:r w:rsidR="00ED5D25">
              <w:rPr>
                <w:rFonts w:ascii="Century Gothic" w:hAnsi="Century Gothic" w:cs="Arial"/>
              </w:rPr>
              <w:t>reader</w:t>
            </w:r>
            <w:r w:rsidR="00ED5D25" w:rsidRPr="009E5952">
              <w:rPr>
                <w:rFonts w:ascii="Century Gothic" w:hAnsi="Century Gothic" w:cs="Arial"/>
              </w:rPr>
              <w:t xml:space="preserve"> </w:t>
            </w:r>
            <w:r w:rsidR="009E5952" w:rsidRPr="009E5952">
              <w:rPr>
                <w:rFonts w:ascii="Century Gothic" w:hAnsi="Century Gothic" w:cs="Arial"/>
              </w:rPr>
              <w:t>to better understand the concept by presenting a real or hypothetical situation that showcases how the concept is applied or functions in practice. These examples often include specific details, descriptions, or visuals to enhance comprehension and aid in the retention of information.</w:t>
            </w:r>
            <w:r w:rsidR="00AA302E">
              <w:rPr>
                <w:rFonts w:ascii="Century Gothic" w:hAnsi="Century Gothic" w:cs="Arial"/>
              </w:rPr>
              <w:t xml:space="preserve"> </w:t>
            </w:r>
            <w:r w:rsidR="00046A47">
              <w:rPr>
                <w:rFonts w:ascii="Century Gothic" w:hAnsi="Century Gothic" w:cs="Arial"/>
              </w:rPr>
              <w:t>T</w:t>
            </w:r>
            <w:r w:rsidR="00AA302E" w:rsidRPr="009E5952">
              <w:rPr>
                <w:rFonts w:ascii="Century Gothic" w:hAnsi="Century Gothic" w:cs="Arial"/>
              </w:rPr>
              <w:t xml:space="preserve">he </w:t>
            </w:r>
            <w:r w:rsidR="00CC6D7D">
              <w:rPr>
                <w:rFonts w:ascii="Century Gothic" w:hAnsi="Century Gothic" w:cs="Arial"/>
              </w:rPr>
              <w:t>Municipality</w:t>
            </w:r>
            <w:r w:rsidR="00AA302E">
              <w:rPr>
                <w:rFonts w:ascii="Century Gothic" w:hAnsi="Century Gothic" w:cs="Arial"/>
              </w:rPr>
              <w:t xml:space="preserve"> must use the information in this section and make relevant to the</w:t>
            </w:r>
            <w:r w:rsidR="00D2044F">
              <w:rPr>
                <w:rFonts w:ascii="Century Gothic" w:hAnsi="Century Gothic" w:cs="Arial"/>
              </w:rPr>
              <w:t>ir specific</w:t>
            </w:r>
            <w:r w:rsidR="00AA302E">
              <w:rPr>
                <w:rFonts w:ascii="Century Gothic" w:hAnsi="Century Gothic" w:cs="Arial"/>
              </w:rPr>
              <w:t xml:space="preserve"> </w:t>
            </w:r>
            <w:r w:rsidR="009E6220">
              <w:rPr>
                <w:rFonts w:ascii="Century Gothic" w:hAnsi="Century Gothic" w:cs="Arial"/>
              </w:rPr>
              <w:t>Municipality by adding and updating accordingly</w:t>
            </w:r>
            <w:r w:rsidR="00046A47">
              <w:rPr>
                <w:rFonts w:ascii="Century Gothic" w:hAnsi="Century Gothic" w:cs="Arial"/>
              </w:rPr>
              <w:t>.</w:t>
            </w:r>
          </w:p>
          <w:p w14:paraId="239902FA" w14:textId="06075F88" w:rsidR="003D771C" w:rsidRDefault="003A2B63" w:rsidP="00E03BB2">
            <w:pPr>
              <w:pStyle w:val="BodyText"/>
              <w:spacing w:beforeLines="60" w:before="144" w:afterLines="60" w:after="144" w:line="240" w:lineRule="auto"/>
              <w:rPr>
                <w:rFonts w:ascii="Century Gothic" w:hAnsi="Century Gothic" w:cs="Arial"/>
              </w:rPr>
            </w:pPr>
            <w:r w:rsidRPr="003A2B63">
              <w:rPr>
                <w:rFonts w:ascii="Century Gothic" w:hAnsi="Century Gothic" w:cs="Arial"/>
              </w:rPr>
              <w:t>By utilizing this comprehensive guide, the Municipality can leverage the expertise and insights provided to establish a robust wheeling framework. The combination of explanatory notes and illustrative examples empowers the Municipality to customize their approach while ensuring compliance with national policies and regulations.</w:t>
            </w:r>
          </w:p>
          <w:p w14:paraId="23BA4CC1" w14:textId="77777777" w:rsidR="003D771C" w:rsidRPr="003D771C" w:rsidRDefault="003D771C" w:rsidP="003D771C">
            <w:pPr>
              <w:pStyle w:val="BodyText"/>
              <w:spacing w:beforeLines="60" w:before="144" w:afterLines="60" w:after="144"/>
              <w:rPr>
                <w:rFonts w:ascii="Century Gothic" w:hAnsi="Century Gothic"/>
              </w:rPr>
            </w:pPr>
            <w:r w:rsidRPr="003D771C">
              <w:rPr>
                <w:rFonts w:ascii="Century Gothic" w:hAnsi="Century Gothic"/>
              </w:rPr>
              <w:t>After the Municipality has created their guide, they can formulate a Municipality-specific policy for public use. This policy will usually encompass broad directives, terms, qualifying criteria, and the application procedure. In essence, the Municipality should:</w:t>
            </w:r>
          </w:p>
          <w:p w14:paraId="3D1F446E" w14:textId="77777777" w:rsidR="003D771C" w:rsidRPr="003D771C" w:rsidRDefault="003D771C" w:rsidP="003D771C">
            <w:pPr>
              <w:pStyle w:val="BodyText"/>
              <w:numPr>
                <w:ilvl w:val="0"/>
                <w:numId w:val="75"/>
              </w:numPr>
              <w:spacing w:beforeLines="60" w:before="144" w:afterLines="60" w:after="144" w:line="240" w:lineRule="auto"/>
              <w:rPr>
                <w:rFonts w:ascii="Century Gothic" w:hAnsi="Century Gothic" w:cs="Arial"/>
              </w:rPr>
            </w:pPr>
            <w:r w:rsidRPr="003D771C">
              <w:rPr>
                <w:rFonts w:ascii="Century Gothic" w:hAnsi="Century Gothic" w:cs="Arial"/>
              </w:rPr>
              <w:lastRenderedPageBreak/>
              <w:t>Construct their internal Third-Party Municipal Wheeling Guideline as an internal service blueprint, delineating processes and guidelines.</w:t>
            </w:r>
          </w:p>
          <w:p w14:paraId="11C5CA5A" w14:textId="77777777" w:rsidR="00B7341C" w:rsidRDefault="003D771C" w:rsidP="000524C7">
            <w:pPr>
              <w:pStyle w:val="BodyText"/>
              <w:numPr>
                <w:ilvl w:val="0"/>
                <w:numId w:val="75"/>
              </w:numPr>
              <w:spacing w:beforeLines="60" w:before="144" w:afterLines="60" w:after="144" w:line="240" w:lineRule="auto"/>
              <w:rPr>
                <w:rFonts w:ascii="Century Gothic" w:hAnsi="Century Gothic" w:cs="Arial"/>
              </w:rPr>
            </w:pPr>
            <w:r w:rsidRPr="003D771C">
              <w:rPr>
                <w:rFonts w:ascii="Century Gothic" w:hAnsi="Century Gothic" w:cs="Arial"/>
              </w:rPr>
              <w:t>Subsequently, craft an external public Third-Party Municipal Wheeling policy, drawing from the guideline's contents and incorporating pertinent elements. This policy will be accessible to the public, offering a clear outline of procedures and regulations.</w:t>
            </w:r>
          </w:p>
          <w:p w14:paraId="1BB3CCA8" w14:textId="5DD23881" w:rsidR="00672710" w:rsidRPr="000524C7" w:rsidRDefault="00672710" w:rsidP="00672710">
            <w:pPr>
              <w:pStyle w:val="BodyText"/>
              <w:spacing w:beforeLines="60" w:before="144" w:afterLines="60" w:after="144" w:line="240" w:lineRule="auto"/>
              <w:rPr>
                <w:rFonts w:ascii="Century Gothic" w:hAnsi="Century Gothic" w:cs="Arial"/>
              </w:rPr>
            </w:pPr>
            <w:r>
              <w:rPr>
                <w:rFonts w:ascii="Century Gothic" w:hAnsi="Century Gothic" w:cs="Arial"/>
              </w:rPr>
              <w:t xml:space="preserve">The </w:t>
            </w:r>
            <w:r w:rsidRPr="00672710">
              <w:rPr>
                <w:rFonts w:ascii="Century Gothic" w:hAnsi="Century Gothic" w:cs="Arial"/>
              </w:rPr>
              <w:t>Tools, References and Further Information</w:t>
            </w:r>
            <w:r w:rsidR="00D86D37">
              <w:rPr>
                <w:rFonts w:ascii="Century Gothic" w:hAnsi="Century Gothic" w:cs="Arial"/>
              </w:rPr>
              <w:t xml:space="preserve"> in section 18 of this document contains links to </w:t>
            </w:r>
            <w:r w:rsidRPr="00672710">
              <w:rPr>
                <w:rFonts w:ascii="Century Gothic" w:hAnsi="Century Gothic" w:cs="Arial"/>
              </w:rPr>
              <w:t xml:space="preserve">resources </w:t>
            </w:r>
            <w:r w:rsidR="00D86D37">
              <w:rPr>
                <w:rFonts w:ascii="Century Gothic" w:hAnsi="Century Gothic" w:cs="Arial"/>
              </w:rPr>
              <w:t xml:space="preserve">that </w:t>
            </w:r>
            <w:r w:rsidRPr="00672710">
              <w:rPr>
                <w:rFonts w:ascii="Century Gothic" w:hAnsi="Century Gothic" w:cs="Arial"/>
              </w:rPr>
              <w:t>may be useful for prospective parties interested in wheeling electricity</w:t>
            </w:r>
            <w:r w:rsidR="00D86D37">
              <w:rPr>
                <w:rFonts w:ascii="Century Gothic" w:hAnsi="Century Gothic" w:cs="Arial"/>
              </w:rPr>
              <w:t>.</w:t>
            </w:r>
          </w:p>
        </w:tc>
      </w:tr>
      <w:tr w:rsidR="0058661F" w:rsidRPr="00E55368" w14:paraId="1ABF9413" w14:textId="77777777" w:rsidTr="00831A39">
        <w:tc>
          <w:tcPr>
            <w:tcW w:w="1560" w:type="dxa"/>
            <w:shd w:val="clear" w:color="auto" w:fill="31849B" w:themeFill="accent5" w:themeFillShade="BF"/>
          </w:tcPr>
          <w:p w14:paraId="79BDD9F9" w14:textId="055FD76E" w:rsidR="0058661F" w:rsidRPr="00EE6B09" w:rsidRDefault="00820B60" w:rsidP="00F77BB4">
            <w:pPr>
              <w:pBdr>
                <w:top w:val="nil"/>
                <w:left w:val="nil"/>
                <w:bottom w:val="nil"/>
                <w:right w:val="nil"/>
                <w:between w:val="nil"/>
              </w:pBdr>
              <w:spacing w:after="0"/>
              <w:rPr>
                <w:rFonts w:ascii="Century Gothic" w:hAnsi="Century Gothic"/>
                <w:b/>
                <w:color w:val="FFFFFF" w:themeColor="background1"/>
                <w:sz w:val="24"/>
                <w:szCs w:val="24"/>
              </w:rPr>
            </w:pPr>
            <w:r w:rsidRPr="00820B60">
              <w:rPr>
                <w:rFonts w:ascii="Century Gothic" w:hAnsi="Century Gothic"/>
                <w:b/>
                <w:color w:val="FFFFFF" w:themeColor="background1"/>
                <w:sz w:val="24"/>
                <w:szCs w:val="24"/>
              </w:rPr>
              <w:t>Simplified vs. Comprehensive Municipal Wheeling Guideline</w:t>
            </w:r>
          </w:p>
        </w:tc>
        <w:tc>
          <w:tcPr>
            <w:tcW w:w="8080" w:type="dxa"/>
            <w:shd w:val="clear" w:color="auto" w:fill="auto"/>
          </w:tcPr>
          <w:p w14:paraId="101369BA" w14:textId="7EBA602B" w:rsidR="00876C7E" w:rsidRPr="00876C7E" w:rsidRDefault="00876C7E" w:rsidP="00876C7E">
            <w:pPr>
              <w:pStyle w:val="BodyText"/>
              <w:rPr>
                <w:rFonts w:ascii="Century Gothic" w:hAnsi="Century Gothic"/>
              </w:rPr>
            </w:pPr>
            <w:r w:rsidRPr="00876C7E">
              <w:rPr>
                <w:rFonts w:ascii="Century Gothic" w:hAnsi="Century Gothic"/>
              </w:rPr>
              <w:t xml:space="preserve">In our pursuit of supporting municipalities in the successful implementation of third-party wheeling, </w:t>
            </w:r>
            <w:r w:rsidR="00820B60">
              <w:rPr>
                <w:rFonts w:ascii="Century Gothic" w:hAnsi="Century Gothic"/>
              </w:rPr>
              <w:t>there are</w:t>
            </w:r>
            <w:r w:rsidRPr="00876C7E">
              <w:rPr>
                <w:rFonts w:ascii="Century Gothic" w:hAnsi="Century Gothic"/>
              </w:rPr>
              <w:t xml:space="preserve"> two distinct guideline options: the Simplified Municipal Wheeling Guideline and the Comprehensive Municipal Wheeling Guideline. This diversity allows you to select the approach that aligns most effectively with your municipality's readiness, resources, and objectives.</w:t>
            </w:r>
          </w:p>
          <w:p w14:paraId="13DC457C" w14:textId="41F70EFD" w:rsidR="00820B60" w:rsidRDefault="00876C7E" w:rsidP="00876C7E">
            <w:pPr>
              <w:pStyle w:val="BodyText"/>
              <w:rPr>
                <w:rFonts w:ascii="Century Gothic" w:hAnsi="Century Gothic"/>
                <w:b/>
                <w:bCs/>
              </w:rPr>
            </w:pPr>
            <w:r w:rsidRPr="00876C7E">
              <w:rPr>
                <w:rFonts w:ascii="Century Gothic" w:hAnsi="Century Gothic"/>
                <w:b/>
                <w:bCs/>
              </w:rPr>
              <w:t>Option 1: Simplified Municipal Wheeling Guideline</w:t>
            </w:r>
          </w:p>
          <w:p w14:paraId="26865BD0" w14:textId="77777777" w:rsidR="00995E61" w:rsidRPr="00876C7E" w:rsidRDefault="00995E61" w:rsidP="00876C7E">
            <w:pPr>
              <w:pStyle w:val="BodyText"/>
              <w:rPr>
                <w:rFonts w:ascii="Century Gothic" w:hAnsi="Century Gothic"/>
                <w:b/>
                <w:bCs/>
              </w:rPr>
            </w:pPr>
          </w:p>
          <w:p w14:paraId="4D1DAAF7" w14:textId="31A8C225" w:rsidR="00876C7E" w:rsidRPr="00876C7E" w:rsidRDefault="00820B60" w:rsidP="00876C7E">
            <w:pPr>
              <w:pStyle w:val="BodyText"/>
              <w:rPr>
                <w:rFonts w:ascii="Century Gothic" w:hAnsi="Century Gothic"/>
              </w:rPr>
            </w:pPr>
            <w:r>
              <w:rPr>
                <w:rFonts w:ascii="Century Gothic" w:hAnsi="Century Gothic"/>
              </w:rPr>
              <w:t>The</w:t>
            </w:r>
            <w:r w:rsidR="00876C7E" w:rsidRPr="00876C7E">
              <w:rPr>
                <w:rFonts w:ascii="Century Gothic" w:hAnsi="Century Gothic"/>
              </w:rPr>
              <w:t xml:space="preserve"> Simplified Guideline offers a concise overview of the fundamental aspects of third-party wheeling. It is an ideal starting point for municipalities seeking a quick understanding of the essentials. This guide provides:</w:t>
            </w:r>
          </w:p>
          <w:p w14:paraId="0634A7E4" w14:textId="77777777" w:rsidR="00876C7E" w:rsidRPr="00876C7E" w:rsidRDefault="00876C7E" w:rsidP="00876C7E">
            <w:pPr>
              <w:pStyle w:val="BodyText"/>
              <w:numPr>
                <w:ilvl w:val="0"/>
                <w:numId w:val="79"/>
              </w:numPr>
              <w:rPr>
                <w:rFonts w:ascii="Century Gothic" w:hAnsi="Century Gothic"/>
              </w:rPr>
            </w:pPr>
            <w:r w:rsidRPr="00876C7E">
              <w:rPr>
                <w:rFonts w:ascii="Century Gothic" w:hAnsi="Century Gothic"/>
              </w:rPr>
              <w:t>A brief yet insightful introduction to third-party wheeling.</w:t>
            </w:r>
          </w:p>
          <w:p w14:paraId="2D19875B" w14:textId="77777777" w:rsidR="00876C7E" w:rsidRPr="00876C7E" w:rsidRDefault="00876C7E" w:rsidP="00876C7E">
            <w:pPr>
              <w:pStyle w:val="BodyText"/>
              <w:numPr>
                <w:ilvl w:val="0"/>
                <w:numId w:val="79"/>
              </w:numPr>
              <w:rPr>
                <w:rFonts w:ascii="Century Gothic" w:hAnsi="Century Gothic"/>
              </w:rPr>
            </w:pPr>
            <w:r w:rsidRPr="00876C7E">
              <w:rPr>
                <w:rFonts w:ascii="Century Gothic" w:hAnsi="Century Gothic"/>
              </w:rPr>
              <w:t>An overview of the legal and regulatory considerations.</w:t>
            </w:r>
          </w:p>
          <w:p w14:paraId="476A8A5F" w14:textId="77777777" w:rsidR="00876C7E" w:rsidRPr="00876C7E" w:rsidRDefault="00876C7E" w:rsidP="00876C7E">
            <w:pPr>
              <w:pStyle w:val="BodyText"/>
              <w:numPr>
                <w:ilvl w:val="0"/>
                <w:numId w:val="79"/>
              </w:numPr>
              <w:rPr>
                <w:rFonts w:ascii="Century Gothic" w:hAnsi="Century Gothic"/>
              </w:rPr>
            </w:pPr>
            <w:r w:rsidRPr="00876C7E">
              <w:rPr>
                <w:rFonts w:ascii="Century Gothic" w:hAnsi="Century Gothic"/>
              </w:rPr>
              <w:t>Basic insight into roles and responsibilities of key stakeholders.</w:t>
            </w:r>
          </w:p>
          <w:p w14:paraId="5D4B2FF5" w14:textId="77777777" w:rsidR="00876C7E" w:rsidRPr="00876C7E" w:rsidRDefault="00876C7E" w:rsidP="00876C7E">
            <w:pPr>
              <w:pStyle w:val="BodyText"/>
              <w:numPr>
                <w:ilvl w:val="0"/>
                <w:numId w:val="79"/>
              </w:numPr>
              <w:rPr>
                <w:rFonts w:ascii="Century Gothic" w:hAnsi="Century Gothic"/>
              </w:rPr>
            </w:pPr>
            <w:r w:rsidRPr="00876C7E">
              <w:rPr>
                <w:rFonts w:ascii="Century Gothic" w:hAnsi="Century Gothic"/>
              </w:rPr>
              <w:t>A snapshot of the application process and its main components.</w:t>
            </w:r>
          </w:p>
          <w:p w14:paraId="287BB4DA" w14:textId="77777777" w:rsidR="00876C7E" w:rsidRDefault="00876C7E" w:rsidP="00876C7E">
            <w:pPr>
              <w:pStyle w:val="BodyText"/>
              <w:rPr>
                <w:rFonts w:ascii="Century Gothic" w:hAnsi="Century Gothic"/>
              </w:rPr>
            </w:pPr>
            <w:r w:rsidRPr="00876C7E">
              <w:rPr>
                <w:rFonts w:ascii="Century Gothic" w:hAnsi="Century Gothic"/>
              </w:rPr>
              <w:t>This guide is particularly suited for municipalities that are in the early stages of considering third-party wheeling or have limited resources to allocate for a comprehensive exploration.</w:t>
            </w:r>
          </w:p>
          <w:p w14:paraId="37F30FA2" w14:textId="5C9A0DB6" w:rsidR="00093C6A" w:rsidRDefault="00093C6A" w:rsidP="00876C7E">
            <w:pPr>
              <w:pStyle w:val="BodyText"/>
              <w:rPr>
                <w:rStyle w:val="Hyperlink"/>
                <w:rFonts w:ascii="Century Gothic" w:hAnsi="Century Gothic"/>
              </w:rPr>
            </w:pPr>
            <w:r>
              <w:rPr>
                <w:rFonts w:ascii="Century Gothic" w:hAnsi="Century Gothic"/>
              </w:rPr>
              <w:t xml:space="preserve">Link - </w:t>
            </w:r>
            <w:hyperlink r:id="rId24" w:history="1">
              <w:r w:rsidRPr="00C458EC">
                <w:rPr>
                  <w:rStyle w:val="Hyperlink"/>
                  <w:rFonts w:ascii="Century Gothic" w:hAnsi="Century Gothic"/>
                </w:rPr>
                <w:t>Template Municipal Wheeling Guideline - Embedded Generation Resource Portal (sseg.org.za)</w:t>
              </w:r>
            </w:hyperlink>
          </w:p>
          <w:p w14:paraId="037786FF" w14:textId="77777777" w:rsidR="00093C6A" w:rsidRPr="00876C7E" w:rsidRDefault="00093C6A" w:rsidP="00876C7E">
            <w:pPr>
              <w:pStyle w:val="BodyText"/>
              <w:rPr>
                <w:rFonts w:ascii="Century Gothic" w:hAnsi="Century Gothic"/>
              </w:rPr>
            </w:pPr>
          </w:p>
          <w:p w14:paraId="2CD5E9C9" w14:textId="77777777" w:rsidR="00876C7E" w:rsidRPr="00876C7E" w:rsidRDefault="00876C7E" w:rsidP="00876C7E">
            <w:pPr>
              <w:pStyle w:val="BodyText"/>
              <w:rPr>
                <w:rFonts w:ascii="Century Gothic" w:hAnsi="Century Gothic"/>
                <w:b/>
                <w:bCs/>
              </w:rPr>
            </w:pPr>
            <w:r w:rsidRPr="00876C7E">
              <w:rPr>
                <w:rFonts w:ascii="Century Gothic" w:hAnsi="Century Gothic"/>
                <w:b/>
                <w:bCs/>
              </w:rPr>
              <w:t>Option 2: Comprehensive Municipal Wheeling Guideline</w:t>
            </w:r>
          </w:p>
          <w:p w14:paraId="25768EA6" w14:textId="1CE21997" w:rsidR="00876C7E" w:rsidRPr="00876C7E" w:rsidRDefault="00093C6A" w:rsidP="00876C7E">
            <w:pPr>
              <w:pStyle w:val="BodyText"/>
              <w:rPr>
                <w:rFonts w:ascii="Century Gothic" w:hAnsi="Century Gothic"/>
              </w:rPr>
            </w:pPr>
            <w:r>
              <w:rPr>
                <w:rFonts w:ascii="Century Gothic" w:hAnsi="Century Gothic"/>
              </w:rPr>
              <w:t>The</w:t>
            </w:r>
            <w:r w:rsidR="00876C7E" w:rsidRPr="00876C7E">
              <w:rPr>
                <w:rFonts w:ascii="Century Gothic" w:hAnsi="Century Gothic"/>
              </w:rPr>
              <w:t xml:space="preserve"> Comprehensive Guideline</w:t>
            </w:r>
            <w:r>
              <w:rPr>
                <w:rFonts w:ascii="Century Gothic" w:hAnsi="Century Gothic"/>
              </w:rPr>
              <w:t>, which you are reading</w:t>
            </w:r>
            <w:r w:rsidR="006361D8">
              <w:rPr>
                <w:rFonts w:ascii="Century Gothic" w:hAnsi="Century Gothic"/>
              </w:rPr>
              <w:t xml:space="preserve"> right now,</w:t>
            </w:r>
            <w:r w:rsidR="00876C7E" w:rsidRPr="00876C7E">
              <w:rPr>
                <w:rFonts w:ascii="Century Gothic" w:hAnsi="Century Gothic"/>
              </w:rPr>
              <w:t xml:space="preserve"> is an extensive resource that delves deeply into every facet of third-party wheeling. It is tailored for municipalities that are committed to harnessing the full potential of this energy management strategy. This guide includes:</w:t>
            </w:r>
          </w:p>
          <w:p w14:paraId="504B4CD9" w14:textId="77777777" w:rsidR="00876C7E" w:rsidRPr="00876C7E" w:rsidRDefault="00876C7E" w:rsidP="00876C7E">
            <w:pPr>
              <w:pStyle w:val="BodyText"/>
              <w:numPr>
                <w:ilvl w:val="0"/>
                <w:numId w:val="80"/>
              </w:numPr>
              <w:rPr>
                <w:rFonts w:ascii="Century Gothic" w:hAnsi="Century Gothic"/>
              </w:rPr>
            </w:pPr>
            <w:r w:rsidRPr="00876C7E">
              <w:rPr>
                <w:rFonts w:ascii="Century Gothic" w:hAnsi="Century Gothic"/>
              </w:rPr>
              <w:t>A comprehensive exploration of the legal and regulatory landscape.</w:t>
            </w:r>
          </w:p>
          <w:p w14:paraId="73CFF2CD" w14:textId="77777777" w:rsidR="00876C7E" w:rsidRPr="00876C7E" w:rsidRDefault="00876C7E" w:rsidP="00876C7E">
            <w:pPr>
              <w:pStyle w:val="BodyText"/>
              <w:numPr>
                <w:ilvl w:val="0"/>
                <w:numId w:val="80"/>
              </w:numPr>
              <w:rPr>
                <w:rFonts w:ascii="Century Gothic" w:hAnsi="Century Gothic"/>
              </w:rPr>
            </w:pPr>
            <w:r w:rsidRPr="00876C7E">
              <w:rPr>
                <w:rFonts w:ascii="Century Gothic" w:hAnsi="Century Gothic"/>
              </w:rPr>
              <w:t>In-depth understanding of roles and responsibilities across various departments.</w:t>
            </w:r>
          </w:p>
          <w:p w14:paraId="0BA297BD" w14:textId="77777777" w:rsidR="00876C7E" w:rsidRPr="00876C7E" w:rsidRDefault="00876C7E" w:rsidP="00876C7E">
            <w:pPr>
              <w:pStyle w:val="BodyText"/>
              <w:numPr>
                <w:ilvl w:val="0"/>
                <w:numId w:val="80"/>
              </w:numPr>
              <w:rPr>
                <w:rFonts w:ascii="Century Gothic" w:hAnsi="Century Gothic"/>
              </w:rPr>
            </w:pPr>
            <w:r w:rsidRPr="00876C7E">
              <w:rPr>
                <w:rFonts w:ascii="Century Gothic" w:hAnsi="Century Gothic"/>
              </w:rPr>
              <w:t>Detailed insights into contractual arrangements and agreements.</w:t>
            </w:r>
          </w:p>
          <w:p w14:paraId="77A3EB79" w14:textId="77777777" w:rsidR="00876C7E" w:rsidRPr="00876C7E" w:rsidRDefault="00876C7E" w:rsidP="00876C7E">
            <w:pPr>
              <w:pStyle w:val="BodyText"/>
              <w:numPr>
                <w:ilvl w:val="0"/>
                <w:numId w:val="80"/>
              </w:numPr>
              <w:rPr>
                <w:rFonts w:ascii="Century Gothic" w:hAnsi="Century Gothic"/>
              </w:rPr>
            </w:pPr>
            <w:r w:rsidRPr="00876C7E">
              <w:rPr>
                <w:rFonts w:ascii="Century Gothic" w:hAnsi="Century Gothic"/>
              </w:rPr>
              <w:t>Technical implementation guidelines, metering best practices, and data management.</w:t>
            </w:r>
          </w:p>
          <w:p w14:paraId="668D7B8A" w14:textId="77777777" w:rsidR="00876C7E" w:rsidRPr="00876C7E" w:rsidRDefault="00876C7E" w:rsidP="00876C7E">
            <w:pPr>
              <w:pStyle w:val="BodyText"/>
              <w:numPr>
                <w:ilvl w:val="0"/>
                <w:numId w:val="80"/>
              </w:numPr>
              <w:rPr>
                <w:rFonts w:ascii="Century Gothic" w:hAnsi="Century Gothic"/>
              </w:rPr>
            </w:pPr>
            <w:r w:rsidRPr="00876C7E">
              <w:rPr>
                <w:rFonts w:ascii="Century Gothic" w:hAnsi="Century Gothic"/>
              </w:rPr>
              <w:t>Crafting effective tariff structures and understanding billing intricacies.</w:t>
            </w:r>
          </w:p>
          <w:p w14:paraId="5CC93D44" w14:textId="77777777" w:rsidR="00876C7E" w:rsidRDefault="00876C7E" w:rsidP="00876C7E">
            <w:pPr>
              <w:pStyle w:val="BodyText"/>
              <w:rPr>
                <w:rFonts w:ascii="Century Gothic" w:hAnsi="Century Gothic"/>
              </w:rPr>
            </w:pPr>
            <w:r w:rsidRPr="00876C7E">
              <w:rPr>
                <w:rFonts w:ascii="Century Gothic" w:hAnsi="Century Gothic"/>
              </w:rPr>
              <w:t>The Comprehensive Guideline is the perfect fit for municipalities that are well-resourced and dedicated to implementing third-party wheeling with meticulous precision.</w:t>
            </w:r>
          </w:p>
          <w:p w14:paraId="7639755C" w14:textId="77777777" w:rsidR="006361D8" w:rsidRPr="00876C7E" w:rsidRDefault="006361D8" w:rsidP="00876C7E">
            <w:pPr>
              <w:pStyle w:val="BodyText"/>
              <w:rPr>
                <w:rFonts w:ascii="Century Gothic" w:hAnsi="Century Gothic"/>
              </w:rPr>
            </w:pPr>
          </w:p>
          <w:p w14:paraId="2F403544" w14:textId="77777777" w:rsidR="00876C7E" w:rsidRPr="00876C7E" w:rsidRDefault="00876C7E" w:rsidP="00876C7E">
            <w:pPr>
              <w:pStyle w:val="BodyText"/>
              <w:rPr>
                <w:rFonts w:ascii="Century Gothic" w:hAnsi="Century Gothic"/>
                <w:b/>
                <w:bCs/>
              </w:rPr>
            </w:pPr>
            <w:r w:rsidRPr="00876C7E">
              <w:rPr>
                <w:rFonts w:ascii="Century Gothic" w:hAnsi="Century Gothic"/>
                <w:b/>
                <w:bCs/>
              </w:rPr>
              <w:t>Choosing the Right Guide: A Simple Assessment</w:t>
            </w:r>
          </w:p>
          <w:p w14:paraId="4D484A31" w14:textId="77777777" w:rsidR="00876C7E" w:rsidRPr="00876C7E" w:rsidRDefault="00876C7E" w:rsidP="00876C7E">
            <w:pPr>
              <w:pStyle w:val="BodyText"/>
              <w:rPr>
                <w:rFonts w:ascii="Century Gothic" w:hAnsi="Century Gothic"/>
              </w:rPr>
            </w:pPr>
            <w:r w:rsidRPr="00876C7E">
              <w:rPr>
                <w:rFonts w:ascii="Century Gothic" w:hAnsi="Century Gothic"/>
              </w:rPr>
              <w:t>Selecting the most suitable guide is essential for ensuring a successful journey in third-party wheeling. Consider the following factors:</w:t>
            </w:r>
          </w:p>
          <w:p w14:paraId="6953277E" w14:textId="77777777" w:rsidR="00876C7E" w:rsidRPr="00143658" w:rsidRDefault="00876C7E" w:rsidP="00143658">
            <w:pPr>
              <w:pStyle w:val="BodyText"/>
              <w:numPr>
                <w:ilvl w:val="0"/>
                <w:numId w:val="59"/>
              </w:numPr>
              <w:spacing w:beforeLines="60" w:before="144" w:afterLines="60" w:after="144" w:line="240" w:lineRule="auto"/>
              <w:rPr>
                <w:rFonts w:ascii="Century Gothic" w:hAnsi="Century Gothic" w:cs="Arial"/>
              </w:rPr>
            </w:pPr>
            <w:r w:rsidRPr="00143658">
              <w:rPr>
                <w:rFonts w:ascii="Century Gothic" w:hAnsi="Century Gothic" w:cs="Arial"/>
              </w:rPr>
              <w:t>Where Are You on Your Journey?</w:t>
            </w:r>
          </w:p>
          <w:p w14:paraId="361F09FB" w14:textId="77777777" w:rsidR="00876C7E" w:rsidRPr="00143658" w:rsidRDefault="00876C7E" w:rsidP="00143658">
            <w:pPr>
              <w:pStyle w:val="BodyText"/>
              <w:numPr>
                <w:ilvl w:val="1"/>
                <w:numId w:val="64"/>
              </w:numPr>
              <w:spacing w:beforeLines="60" w:before="144" w:afterLines="60" w:after="144" w:line="240" w:lineRule="auto"/>
              <w:rPr>
                <w:rStyle w:val="Hyperlink"/>
                <w:rFonts w:ascii="Century Gothic" w:hAnsi="Century Gothic"/>
                <w:color w:val="auto"/>
                <w:sz w:val="22"/>
                <w:szCs w:val="22"/>
                <w:u w:val="none"/>
              </w:rPr>
            </w:pPr>
            <w:r w:rsidRPr="00143658">
              <w:rPr>
                <w:rStyle w:val="Hyperlink"/>
                <w:rFonts w:ascii="Century Gothic" w:hAnsi="Century Gothic"/>
                <w:color w:val="auto"/>
                <w:sz w:val="22"/>
                <w:szCs w:val="22"/>
                <w:u w:val="none"/>
              </w:rPr>
              <w:lastRenderedPageBreak/>
              <w:t>If you are at the exploratory stage, the Simplified Guide provides a solid foundation.</w:t>
            </w:r>
          </w:p>
          <w:p w14:paraId="5FCEA9AA" w14:textId="77777777" w:rsidR="00876C7E" w:rsidRPr="00143658" w:rsidRDefault="00876C7E" w:rsidP="00143658">
            <w:pPr>
              <w:pStyle w:val="BodyText"/>
              <w:numPr>
                <w:ilvl w:val="1"/>
                <w:numId w:val="64"/>
              </w:numPr>
              <w:spacing w:beforeLines="60" w:before="144" w:afterLines="60" w:after="144" w:line="240" w:lineRule="auto"/>
              <w:rPr>
                <w:rStyle w:val="Hyperlink"/>
                <w:rFonts w:ascii="Century Gothic" w:hAnsi="Century Gothic"/>
                <w:color w:val="auto"/>
                <w:sz w:val="22"/>
                <w:szCs w:val="22"/>
                <w:u w:val="none"/>
              </w:rPr>
            </w:pPr>
            <w:r w:rsidRPr="00143658">
              <w:rPr>
                <w:rStyle w:val="Hyperlink"/>
                <w:rFonts w:ascii="Century Gothic" w:hAnsi="Century Gothic"/>
                <w:color w:val="auto"/>
                <w:sz w:val="22"/>
                <w:szCs w:val="22"/>
                <w:u w:val="none"/>
              </w:rPr>
              <w:t>If you are committed to implementation, the Comprehensive Guide is your comprehensive companion.</w:t>
            </w:r>
          </w:p>
          <w:p w14:paraId="164FC38A" w14:textId="77777777" w:rsidR="00876C7E" w:rsidRPr="00143658" w:rsidRDefault="00876C7E" w:rsidP="00143658">
            <w:pPr>
              <w:pStyle w:val="BodyText"/>
              <w:numPr>
                <w:ilvl w:val="0"/>
                <w:numId w:val="59"/>
              </w:numPr>
              <w:spacing w:beforeLines="60" w:before="144" w:afterLines="60" w:after="144" w:line="240" w:lineRule="auto"/>
              <w:rPr>
                <w:rFonts w:ascii="Century Gothic" w:hAnsi="Century Gothic" w:cs="Arial"/>
              </w:rPr>
            </w:pPr>
            <w:r w:rsidRPr="00143658">
              <w:rPr>
                <w:rFonts w:ascii="Century Gothic" w:hAnsi="Century Gothic" w:cs="Arial"/>
              </w:rPr>
              <w:t>Resource Availability:</w:t>
            </w:r>
          </w:p>
          <w:p w14:paraId="0D0D4460" w14:textId="77777777" w:rsidR="00876C7E" w:rsidRPr="00143658" w:rsidRDefault="00876C7E" w:rsidP="00143658">
            <w:pPr>
              <w:pStyle w:val="BodyText"/>
              <w:numPr>
                <w:ilvl w:val="1"/>
                <w:numId w:val="64"/>
              </w:numPr>
              <w:spacing w:beforeLines="60" w:before="144" w:afterLines="60" w:after="144" w:line="240" w:lineRule="auto"/>
              <w:rPr>
                <w:rStyle w:val="Hyperlink"/>
                <w:rFonts w:ascii="Century Gothic" w:hAnsi="Century Gothic"/>
                <w:color w:val="auto"/>
                <w:sz w:val="22"/>
                <w:szCs w:val="22"/>
                <w:u w:val="none"/>
              </w:rPr>
            </w:pPr>
            <w:r w:rsidRPr="00143658">
              <w:rPr>
                <w:rStyle w:val="Hyperlink"/>
                <w:rFonts w:ascii="Century Gothic" w:hAnsi="Century Gothic"/>
                <w:color w:val="auto"/>
                <w:sz w:val="22"/>
                <w:szCs w:val="22"/>
                <w:u w:val="none"/>
              </w:rPr>
              <w:t>If resources are limited, the Simplified Guide offers a streamlined introduction.</w:t>
            </w:r>
          </w:p>
          <w:p w14:paraId="5104D60A" w14:textId="77777777" w:rsidR="00876C7E" w:rsidRPr="00143658" w:rsidRDefault="00876C7E" w:rsidP="00143658">
            <w:pPr>
              <w:pStyle w:val="BodyText"/>
              <w:numPr>
                <w:ilvl w:val="1"/>
                <w:numId w:val="64"/>
              </w:numPr>
              <w:spacing w:beforeLines="60" w:before="144" w:afterLines="60" w:after="144" w:line="240" w:lineRule="auto"/>
              <w:rPr>
                <w:rStyle w:val="Hyperlink"/>
                <w:rFonts w:ascii="Century Gothic" w:hAnsi="Century Gothic"/>
                <w:color w:val="auto"/>
                <w:sz w:val="22"/>
                <w:szCs w:val="22"/>
                <w:u w:val="none"/>
              </w:rPr>
            </w:pPr>
            <w:r w:rsidRPr="00143658">
              <w:rPr>
                <w:rStyle w:val="Hyperlink"/>
                <w:rFonts w:ascii="Century Gothic" w:hAnsi="Century Gothic"/>
                <w:color w:val="auto"/>
                <w:sz w:val="22"/>
                <w:szCs w:val="22"/>
                <w:u w:val="none"/>
              </w:rPr>
              <w:t>If resources are abundant, the Comprehensive Guide equips you for in-depth execution.</w:t>
            </w:r>
          </w:p>
          <w:p w14:paraId="41941C31" w14:textId="77777777" w:rsidR="00876C7E" w:rsidRPr="00143658" w:rsidRDefault="00876C7E" w:rsidP="00143658">
            <w:pPr>
              <w:pStyle w:val="BodyText"/>
              <w:numPr>
                <w:ilvl w:val="0"/>
                <w:numId w:val="59"/>
              </w:numPr>
              <w:spacing w:beforeLines="60" w:before="144" w:afterLines="60" w:after="144" w:line="240" w:lineRule="auto"/>
              <w:rPr>
                <w:rFonts w:ascii="Century Gothic" w:hAnsi="Century Gothic" w:cs="Arial"/>
              </w:rPr>
            </w:pPr>
            <w:r w:rsidRPr="00143658">
              <w:rPr>
                <w:rFonts w:ascii="Century Gothic" w:hAnsi="Century Gothic" w:cs="Arial"/>
              </w:rPr>
              <w:t>Plan Maturity:</w:t>
            </w:r>
          </w:p>
          <w:p w14:paraId="6A0A667B" w14:textId="77777777" w:rsidR="00876C7E" w:rsidRPr="00143658" w:rsidRDefault="00876C7E" w:rsidP="00143658">
            <w:pPr>
              <w:pStyle w:val="BodyText"/>
              <w:numPr>
                <w:ilvl w:val="1"/>
                <w:numId w:val="64"/>
              </w:numPr>
              <w:spacing w:beforeLines="60" w:before="144" w:afterLines="60" w:after="144" w:line="240" w:lineRule="auto"/>
              <w:rPr>
                <w:rStyle w:val="Hyperlink"/>
                <w:rFonts w:ascii="Century Gothic" w:hAnsi="Century Gothic"/>
                <w:color w:val="auto"/>
                <w:sz w:val="22"/>
                <w:szCs w:val="22"/>
                <w:u w:val="none"/>
              </w:rPr>
            </w:pPr>
            <w:r w:rsidRPr="00143658">
              <w:rPr>
                <w:rStyle w:val="Hyperlink"/>
                <w:rFonts w:ascii="Century Gothic" w:hAnsi="Century Gothic"/>
                <w:color w:val="auto"/>
                <w:sz w:val="22"/>
                <w:szCs w:val="22"/>
                <w:u w:val="none"/>
              </w:rPr>
              <w:t>If your plan is in its infancy, the Simplified Guide helps shape initial steps.</w:t>
            </w:r>
          </w:p>
          <w:p w14:paraId="2C0A5EFE" w14:textId="77777777" w:rsidR="00876C7E" w:rsidRPr="00143658" w:rsidRDefault="00876C7E" w:rsidP="00143658">
            <w:pPr>
              <w:pStyle w:val="BodyText"/>
              <w:numPr>
                <w:ilvl w:val="1"/>
                <w:numId w:val="64"/>
              </w:numPr>
              <w:spacing w:beforeLines="60" w:before="144" w:afterLines="60" w:after="144" w:line="240" w:lineRule="auto"/>
              <w:rPr>
                <w:rStyle w:val="Hyperlink"/>
                <w:rFonts w:ascii="Century Gothic" w:hAnsi="Century Gothic"/>
                <w:color w:val="auto"/>
                <w:sz w:val="22"/>
                <w:szCs w:val="22"/>
                <w:u w:val="none"/>
              </w:rPr>
            </w:pPr>
            <w:r w:rsidRPr="00143658">
              <w:rPr>
                <w:rStyle w:val="Hyperlink"/>
                <w:rFonts w:ascii="Century Gothic" w:hAnsi="Century Gothic"/>
                <w:color w:val="auto"/>
                <w:sz w:val="22"/>
                <w:szCs w:val="22"/>
                <w:u w:val="none"/>
              </w:rPr>
              <w:t>If you have a mature strategy, the Comprehensive Guide ensures meticulous execution.</w:t>
            </w:r>
          </w:p>
          <w:p w14:paraId="036026DD" w14:textId="56F7FAD5" w:rsidR="0058661F" w:rsidRPr="00BE54FC" w:rsidRDefault="00876C7E" w:rsidP="00BE54FC">
            <w:pPr>
              <w:pStyle w:val="BodyText"/>
              <w:rPr>
                <w:rFonts w:ascii="Century Gothic" w:hAnsi="Century Gothic"/>
              </w:rPr>
            </w:pPr>
            <w:r w:rsidRPr="00876C7E">
              <w:rPr>
                <w:rFonts w:ascii="Century Gothic" w:hAnsi="Century Gothic"/>
              </w:rPr>
              <w:t xml:space="preserve">Both guides reflect </w:t>
            </w:r>
            <w:r w:rsidR="00995E61">
              <w:rPr>
                <w:rFonts w:ascii="Century Gothic" w:hAnsi="Century Gothic"/>
              </w:rPr>
              <w:t>a</w:t>
            </w:r>
            <w:r w:rsidRPr="00876C7E">
              <w:rPr>
                <w:rFonts w:ascii="Century Gothic" w:hAnsi="Century Gothic"/>
              </w:rPr>
              <w:t xml:space="preserve"> commitment to success. Whichever option you choose, our support remains steadfast. Feel free to review the attached documents to make an informed decision that resonates with your municipality's objectives.</w:t>
            </w:r>
          </w:p>
        </w:tc>
      </w:tr>
      <w:tr w:rsidR="00995E61" w:rsidRPr="00E55368" w14:paraId="3584F99E" w14:textId="77777777" w:rsidTr="00831A39">
        <w:tc>
          <w:tcPr>
            <w:tcW w:w="1560" w:type="dxa"/>
            <w:shd w:val="clear" w:color="auto" w:fill="31849B" w:themeFill="accent5" w:themeFillShade="BF"/>
          </w:tcPr>
          <w:p w14:paraId="08C4378B" w14:textId="5CD5F179" w:rsidR="00995E61" w:rsidRPr="00820B60" w:rsidRDefault="00995E61" w:rsidP="00995E61">
            <w:pPr>
              <w:pBdr>
                <w:top w:val="nil"/>
                <w:left w:val="nil"/>
                <w:bottom w:val="nil"/>
                <w:right w:val="nil"/>
                <w:between w:val="nil"/>
              </w:pBdr>
              <w:spacing w:after="0"/>
              <w:rPr>
                <w:rFonts w:ascii="Century Gothic" w:hAnsi="Century Gothic"/>
                <w:b/>
                <w:color w:val="FFFFFF" w:themeColor="background1"/>
                <w:sz w:val="24"/>
                <w:szCs w:val="24"/>
              </w:rPr>
            </w:pPr>
            <w:r w:rsidRPr="00EE6B09">
              <w:rPr>
                <w:rFonts w:ascii="Century Gothic" w:hAnsi="Century Gothic"/>
                <w:b/>
                <w:color w:val="FFFFFF" w:themeColor="background1"/>
                <w:sz w:val="24"/>
                <w:szCs w:val="24"/>
              </w:rPr>
              <w:t xml:space="preserve">Who has developed and contributed to this Template </w:t>
            </w:r>
          </w:p>
        </w:tc>
        <w:tc>
          <w:tcPr>
            <w:tcW w:w="8080" w:type="dxa"/>
            <w:shd w:val="clear" w:color="auto" w:fill="auto"/>
          </w:tcPr>
          <w:p w14:paraId="169D844E" w14:textId="77777777" w:rsidR="00995E61" w:rsidRPr="00EE6B09" w:rsidRDefault="00995E61" w:rsidP="00995E61">
            <w:pPr>
              <w:pStyle w:val="BodyText"/>
              <w:spacing w:line="240" w:lineRule="auto"/>
              <w:rPr>
                <w:rFonts w:ascii="Century Gothic" w:hAnsi="Century Gothic" w:cs="Arial"/>
              </w:rPr>
            </w:pPr>
            <w:r w:rsidRPr="00EE6B09">
              <w:rPr>
                <w:rFonts w:ascii="Century Gothic" w:hAnsi="Century Gothic" w:cs="Arial"/>
              </w:rPr>
              <w:t xml:space="preserve">The initial base third-party municipal wheeling guideline document and </w:t>
            </w:r>
            <w:r>
              <w:rPr>
                <w:rFonts w:ascii="Century Gothic" w:hAnsi="Century Gothic" w:cs="Arial"/>
              </w:rPr>
              <w:t>u</w:t>
            </w:r>
            <w:r w:rsidRPr="00EE6B09">
              <w:rPr>
                <w:rFonts w:ascii="Century Gothic" w:hAnsi="Century Gothic" w:cs="Arial"/>
              </w:rPr>
              <w:t xml:space="preserve">pdated operational third-party municipal wheeling guideline document was developed and contributed to by the following organizations </w:t>
            </w:r>
            <w:r>
              <w:rPr>
                <w:rFonts w:ascii="Century Gothic" w:hAnsi="Century Gothic" w:cs="Arial"/>
              </w:rPr>
              <w:t>and companies.</w:t>
            </w:r>
          </w:p>
          <w:p w14:paraId="33E9538B" w14:textId="77777777" w:rsidR="00995E61" w:rsidRPr="00EE6B09" w:rsidRDefault="00995E61" w:rsidP="00995E61">
            <w:pPr>
              <w:pStyle w:val="BodyText"/>
              <w:numPr>
                <w:ilvl w:val="0"/>
                <w:numId w:val="59"/>
              </w:numPr>
              <w:spacing w:beforeLines="60" w:before="144" w:afterLines="60" w:after="144" w:line="240" w:lineRule="auto"/>
              <w:rPr>
                <w:rFonts w:ascii="Century Gothic" w:hAnsi="Century Gothic" w:cs="Arial"/>
              </w:rPr>
            </w:pPr>
            <w:r w:rsidRPr="00EE6B09">
              <w:rPr>
                <w:rFonts w:ascii="Century Gothic" w:hAnsi="Century Gothic" w:cs="Arial"/>
              </w:rPr>
              <w:t>GIZ</w:t>
            </w:r>
          </w:p>
          <w:p w14:paraId="1936BF9C" w14:textId="77777777" w:rsidR="00995E61" w:rsidRPr="00EE6B09" w:rsidRDefault="00995E61" w:rsidP="00995E61">
            <w:pPr>
              <w:pStyle w:val="BodyText"/>
              <w:numPr>
                <w:ilvl w:val="0"/>
                <w:numId w:val="59"/>
              </w:numPr>
              <w:spacing w:beforeLines="60" w:before="144" w:afterLines="60" w:after="144" w:line="240" w:lineRule="auto"/>
              <w:rPr>
                <w:rFonts w:ascii="Century Gothic" w:hAnsi="Century Gothic" w:cs="Arial"/>
              </w:rPr>
            </w:pPr>
            <w:r w:rsidRPr="00EE6B09">
              <w:rPr>
                <w:rFonts w:ascii="Century Gothic" w:hAnsi="Century Gothic" w:cs="Arial"/>
              </w:rPr>
              <w:t>EY</w:t>
            </w:r>
          </w:p>
          <w:p w14:paraId="64617B6B" w14:textId="77777777" w:rsidR="00995E61" w:rsidRPr="00EE6B09" w:rsidRDefault="00995E61" w:rsidP="00995E61">
            <w:pPr>
              <w:pStyle w:val="BodyText"/>
              <w:numPr>
                <w:ilvl w:val="0"/>
                <w:numId w:val="59"/>
              </w:numPr>
              <w:spacing w:beforeLines="60" w:before="144" w:afterLines="60" w:after="144" w:line="240" w:lineRule="auto"/>
              <w:rPr>
                <w:rFonts w:ascii="Century Gothic" w:hAnsi="Century Gothic" w:cs="Arial"/>
              </w:rPr>
            </w:pPr>
            <w:r w:rsidRPr="00EE6B09">
              <w:rPr>
                <w:rFonts w:ascii="Century Gothic" w:hAnsi="Century Gothic" w:cs="Arial"/>
              </w:rPr>
              <w:t>Sustainable Energy Africa</w:t>
            </w:r>
          </w:p>
          <w:p w14:paraId="0AC8971C" w14:textId="77777777" w:rsidR="00995E61" w:rsidRDefault="00995E61" w:rsidP="00995E61">
            <w:pPr>
              <w:pStyle w:val="BodyText"/>
              <w:numPr>
                <w:ilvl w:val="0"/>
                <w:numId w:val="59"/>
              </w:numPr>
              <w:spacing w:beforeLines="60" w:before="144" w:afterLines="60" w:after="144" w:line="240" w:lineRule="auto"/>
              <w:rPr>
                <w:rFonts w:ascii="Century Gothic" w:hAnsi="Century Gothic" w:cs="Arial"/>
              </w:rPr>
            </w:pPr>
            <w:r w:rsidRPr="00EE6B09">
              <w:rPr>
                <w:rFonts w:ascii="Century Gothic" w:hAnsi="Century Gothic" w:cs="Arial"/>
              </w:rPr>
              <w:t>Energy Council of South Africa</w:t>
            </w:r>
          </w:p>
          <w:p w14:paraId="4C59BB7A" w14:textId="77777777" w:rsidR="00995E61" w:rsidRPr="00EE6B09" w:rsidRDefault="00995E61" w:rsidP="00995E61">
            <w:pPr>
              <w:pStyle w:val="BodyText"/>
              <w:numPr>
                <w:ilvl w:val="0"/>
                <w:numId w:val="59"/>
              </w:numPr>
              <w:spacing w:beforeLines="60" w:before="144" w:afterLines="60" w:after="144" w:line="240" w:lineRule="auto"/>
              <w:rPr>
                <w:rFonts w:ascii="Century Gothic" w:hAnsi="Century Gothic" w:cs="Arial"/>
              </w:rPr>
            </w:pPr>
            <w:r w:rsidRPr="00EE6B09">
              <w:rPr>
                <w:rFonts w:ascii="Century Gothic" w:hAnsi="Century Gothic" w:cs="Arial"/>
              </w:rPr>
              <w:t>Greencape</w:t>
            </w:r>
          </w:p>
          <w:p w14:paraId="297A1AE7" w14:textId="77777777" w:rsidR="00995E61" w:rsidRPr="00EE6B09" w:rsidRDefault="00995E61" w:rsidP="00995E61">
            <w:pPr>
              <w:pStyle w:val="BodyText"/>
              <w:numPr>
                <w:ilvl w:val="0"/>
                <w:numId w:val="59"/>
              </w:numPr>
              <w:spacing w:beforeLines="60" w:before="144" w:afterLines="60" w:after="144" w:line="240" w:lineRule="auto"/>
              <w:rPr>
                <w:rFonts w:ascii="Century Gothic" w:hAnsi="Century Gothic" w:cs="Arial"/>
              </w:rPr>
            </w:pPr>
            <w:r w:rsidRPr="00EE6B09">
              <w:rPr>
                <w:rFonts w:ascii="Century Gothic" w:hAnsi="Century Gothic" w:cs="Arial"/>
              </w:rPr>
              <w:t>Western Cape Government</w:t>
            </w:r>
          </w:p>
          <w:p w14:paraId="4C66D2C1" w14:textId="77777777" w:rsidR="00995E61" w:rsidRPr="00EE6B09" w:rsidRDefault="00995E61" w:rsidP="00995E61">
            <w:pPr>
              <w:pStyle w:val="BodyText"/>
              <w:numPr>
                <w:ilvl w:val="0"/>
                <w:numId w:val="59"/>
              </w:numPr>
              <w:spacing w:beforeLines="60" w:before="144" w:afterLines="60" w:after="144" w:line="240" w:lineRule="auto"/>
              <w:rPr>
                <w:rFonts w:ascii="Century Gothic" w:hAnsi="Century Gothic" w:cs="Arial"/>
              </w:rPr>
            </w:pPr>
            <w:r w:rsidRPr="00EE6B09">
              <w:rPr>
                <w:rFonts w:ascii="Century Gothic" w:hAnsi="Century Gothic" w:cs="Arial"/>
              </w:rPr>
              <w:t>City of Ekurhuleni</w:t>
            </w:r>
          </w:p>
          <w:p w14:paraId="1FB010DB" w14:textId="77777777" w:rsidR="00995E61" w:rsidRPr="00EE6B09" w:rsidRDefault="00995E61" w:rsidP="00995E61">
            <w:pPr>
              <w:pStyle w:val="BodyText"/>
              <w:numPr>
                <w:ilvl w:val="0"/>
                <w:numId w:val="59"/>
              </w:numPr>
              <w:spacing w:beforeLines="60" w:before="144" w:afterLines="60" w:after="144" w:line="240" w:lineRule="auto"/>
              <w:rPr>
                <w:rFonts w:ascii="Century Gothic" w:hAnsi="Century Gothic" w:cs="Arial"/>
              </w:rPr>
            </w:pPr>
            <w:r w:rsidRPr="00EE6B09">
              <w:rPr>
                <w:rFonts w:ascii="Century Gothic" w:hAnsi="Century Gothic" w:cs="Arial"/>
              </w:rPr>
              <w:t xml:space="preserve">Swartland Municipality </w:t>
            </w:r>
          </w:p>
          <w:p w14:paraId="408353C3" w14:textId="77777777" w:rsidR="00995E61" w:rsidRPr="00EE6B09" w:rsidRDefault="00995E61" w:rsidP="00995E61">
            <w:pPr>
              <w:pStyle w:val="BodyText"/>
              <w:numPr>
                <w:ilvl w:val="0"/>
                <w:numId w:val="59"/>
              </w:numPr>
              <w:spacing w:beforeLines="60" w:before="144" w:afterLines="60" w:after="144" w:line="240" w:lineRule="auto"/>
              <w:rPr>
                <w:rFonts w:ascii="Century Gothic" w:hAnsi="Century Gothic" w:cs="Arial"/>
              </w:rPr>
            </w:pPr>
            <w:r w:rsidRPr="00EE6B09">
              <w:rPr>
                <w:rFonts w:ascii="Century Gothic" w:hAnsi="Century Gothic" w:cs="Arial"/>
              </w:rPr>
              <w:t>SALGA</w:t>
            </w:r>
          </w:p>
          <w:p w14:paraId="09312E25" w14:textId="77777777" w:rsidR="00995E61" w:rsidRPr="00EE6B09" w:rsidRDefault="00995E61" w:rsidP="00995E61">
            <w:pPr>
              <w:pStyle w:val="BodyText"/>
              <w:numPr>
                <w:ilvl w:val="0"/>
                <w:numId w:val="59"/>
              </w:numPr>
              <w:spacing w:beforeLines="60" w:before="144" w:afterLines="60" w:after="144" w:line="240" w:lineRule="auto"/>
              <w:rPr>
                <w:rFonts w:ascii="Century Gothic" w:hAnsi="Century Gothic" w:cs="Arial"/>
              </w:rPr>
            </w:pPr>
            <w:r w:rsidRPr="00EE6B09">
              <w:rPr>
                <w:rFonts w:ascii="Century Gothic" w:hAnsi="Century Gothic" w:cs="Arial"/>
              </w:rPr>
              <w:t>Enpower</w:t>
            </w:r>
          </w:p>
          <w:p w14:paraId="3EC3EDCD" w14:textId="77777777" w:rsidR="00995E61" w:rsidRPr="00EE6B09" w:rsidRDefault="00995E61" w:rsidP="00995E61">
            <w:pPr>
              <w:pStyle w:val="BodyText"/>
              <w:numPr>
                <w:ilvl w:val="0"/>
                <w:numId w:val="59"/>
              </w:numPr>
              <w:spacing w:beforeLines="60" w:before="144" w:afterLines="60" w:after="144" w:line="240" w:lineRule="auto"/>
              <w:rPr>
                <w:rFonts w:ascii="Century Gothic" w:hAnsi="Century Gothic" w:cs="Arial"/>
              </w:rPr>
            </w:pPr>
            <w:r w:rsidRPr="00EE6B09">
              <w:rPr>
                <w:rFonts w:ascii="Century Gothic" w:hAnsi="Century Gothic" w:cs="Arial"/>
              </w:rPr>
              <w:t>Solar Africa</w:t>
            </w:r>
          </w:p>
          <w:p w14:paraId="7D869953" w14:textId="77777777" w:rsidR="00995E61" w:rsidRPr="00EE6B09" w:rsidRDefault="00995E61" w:rsidP="00995E61">
            <w:pPr>
              <w:pStyle w:val="BodyText"/>
              <w:numPr>
                <w:ilvl w:val="0"/>
                <w:numId w:val="59"/>
              </w:numPr>
              <w:spacing w:beforeLines="60" w:before="144" w:afterLines="60" w:after="144" w:line="240" w:lineRule="auto"/>
              <w:rPr>
                <w:rFonts w:ascii="Century Gothic" w:hAnsi="Century Gothic" w:cs="Arial"/>
              </w:rPr>
            </w:pPr>
            <w:r w:rsidRPr="00EE6B09">
              <w:rPr>
                <w:rFonts w:ascii="Century Gothic" w:hAnsi="Century Gothic" w:cs="Arial"/>
              </w:rPr>
              <w:t>Meerkat Energy</w:t>
            </w:r>
          </w:p>
          <w:p w14:paraId="2FB50CC6" w14:textId="77777777" w:rsidR="00995E61" w:rsidRPr="00EE6B09" w:rsidRDefault="00995E61" w:rsidP="00995E61">
            <w:pPr>
              <w:pStyle w:val="BodyText"/>
              <w:numPr>
                <w:ilvl w:val="0"/>
                <w:numId w:val="59"/>
              </w:numPr>
              <w:spacing w:beforeLines="60" w:before="144" w:afterLines="60" w:after="144" w:line="240" w:lineRule="auto"/>
              <w:rPr>
                <w:rFonts w:ascii="Century Gothic" w:hAnsi="Century Gothic" w:cs="Arial"/>
              </w:rPr>
            </w:pPr>
            <w:r w:rsidRPr="00EE6B09">
              <w:rPr>
                <w:rFonts w:ascii="Century Gothic" w:hAnsi="Century Gothic" w:cs="Arial"/>
              </w:rPr>
              <w:t xml:space="preserve">Meter Academy </w:t>
            </w:r>
            <w:r>
              <w:rPr>
                <w:rFonts w:ascii="Century Gothic" w:hAnsi="Century Gothic" w:cs="Arial"/>
              </w:rPr>
              <w:t>&amp; Services</w:t>
            </w:r>
          </w:p>
          <w:p w14:paraId="4FB7D914" w14:textId="77777777" w:rsidR="00995E61" w:rsidRDefault="00995E61" w:rsidP="00780B97">
            <w:pPr>
              <w:pStyle w:val="BodyText"/>
              <w:spacing w:before="120" w:after="120" w:line="240" w:lineRule="auto"/>
              <w:rPr>
                <w:rFonts w:ascii="Century Gothic" w:hAnsi="Century Gothic" w:cs="Arial"/>
              </w:rPr>
            </w:pPr>
            <w:r w:rsidRPr="00EE6B09">
              <w:rPr>
                <w:rFonts w:ascii="Century Gothic" w:hAnsi="Century Gothic" w:cs="Arial"/>
              </w:rPr>
              <w:t xml:space="preserve">For any clarification required on any aspects please contact </w:t>
            </w:r>
          </w:p>
          <w:p w14:paraId="5B0FA33D" w14:textId="353260CD" w:rsidR="00995E61" w:rsidRDefault="00995E61" w:rsidP="00780B97">
            <w:pPr>
              <w:pStyle w:val="BodyText"/>
              <w:numPr>
                <w:ilvl w:val="0"/>
                <w:numId w:val="65"/>
              </w:numPr>
              <w:spacing w:before="120" w:after="120" w:line="240" w:lineRule="auto"/>
              <w:ind w:left="650" w:hanging="284"/>
              <w:rPr>
                <w:rFonts w:ascii="Century Gothic" w:hAnsi="Century Gothic" w:cs="Arial"/>
              </w:rPr>
            </w:pPr>
            <w:r w:rsidRPr="00EE6B09">
              <w:rPr>
                <w:rFonts w:ascii="Century Gothic" w:hAnsi="Century Gothic" w:cs="Arial"/>
              </w:rPr>
              <w:t>Rashid Khan</w:t>
            </w:r>
            <w:r w:rsidR="002432D7">
              <w:rPr>
                <w:rFonts w:ascii="Century Gothic" w:hAnsi="Century Gothic" w:cs="Arial"/>
              </w:rPr>
              <w:t xml:space="preserve"> CA (SA)</w:t>
            </w:r>
            <w:r w:rsidRPr="00EE6B09">
              <w:rPr>
                <w:rFonts w:ascii="Century Gothic" w:hAnsi="Century Gothic" w:cs="Arial"/>
              </w:rPr>
              <w:t xml:space="preserve"> on </w:t>
            </w:r>
            <w:hyperlink r:id="rId25" w:history="1">
              <w:r w:rsidRPr="00475BAC">
                <w:rPr>
                  <w:rStyle w:val="Hyperlink"/>
                  <w:rFonts w:ascii="Century Gothic" w:hAnsi="Century Gothic" w:cs="Arial"/>
                </w:rPr>
                <w:t>rashid.khan@za.ey.com</w:t>
              </w:r>
            </w:hyperlink>
            <w:r>
              <w:rPr>
                <w:rFonts w:ascii="Century Gothic" w:hAnsi="Century Gothic" w:cs="Arial"/>
              </w:rPr>
              <w:t xml:space="preserve"> or </w:t>
            </w:r>
            <w:r w:rsidRPr="00EE6B09">
              <w:rPr>
                <w:rFonts w:ascii="Century Gothic" w:hAnsi="Century Gothic" w:cs="Arial"/>
              </w:rPr>
              <w:t xml:space="preserve">0836110925 </w:t>
            </w:r>
          </w:p>
          <w:p w14:paraId="69C641EA" w14:textId="75AA5B9C" w:rsidR="00995E61" w:rsidRDefault="00995E61" w:rsidP="00780B97">
            <w:pPr>
              <w:pStyle w:val="BodyText"/>
              <w:numPr>
                <w:ilvl w:val="0"/>
                <w:numId w:val="65"/>
              </w:numPr>
              <w:spacing w:before="120" w:after="120" w:line="240" w:lineRule="auto"/>
              <w:ind w:left="650" w:hanging="284"/>
              <w:rPr>
                <w:rFonts w:ascii="Century Gothic" w:hAnsi="Century Gothic" w:cs="Arial"/>
              </w:rPr>
            </w:pPr>
            <w:r w:rsidRPr="00EE6B09">
              <w:rPr>
                <w:rFonts w:ascii="Century Gothic" w:hAnsi="Century Gothic" w:cs="Arial"/>
              </w:rPr>
              <w:t xml:space="preserve">Gerhard </w:t>
            </w:r>
            <w:proofErr w:type="spellStart"/>
            <w:r w:rsidRPr="00EE6B09">
              <w:rPr>
                <w:rFonts w:ascii="Century Gothic" w:hAnsi="Century Gothic" w:cs="Arial"/>
              </w:rPr>
              <w:t>Mynhardt</w:t>
            </w:r>
            <w:proofErr w:type="spellEnd"/>
            <w:r w:rsidRPr="00EE6B09">
              <w:rPr>
                <w:rFonts w:ascii="Century Gothic" w:hAnsi="Century Gothic" w:cs="Arial"/>
              </w:rPr>
              <w:t xml:space="preserve"> </w:t>
            </w:r>
            <w:r w:rsidR="004E7101">
              <w:rPr>
                <w:rFonts w:ascii="Century Gothic" w:hAnsi="Century Gothic" w:cs="Arial"/>
              </w:rPr>
              <w:t xml:space="preserve">on </w:t>
            </w:r>
            <w:hyperlink r:id="rId26" w:history="1">
              <w:r w:rsidR="004E7101" w:rsidRPr="0083587C">
                <w:rPr>
                  <w:rStyle w:val="Hyperlink"/>
                  <w:rFonts w:ascii="Century Gothic" w:hAnsi="Century Gothic" w:cs="Arial"/>
                </w:rPr>
                <w:t>gerhardus.jozoua.mynhardt@za.ey.com</w:t>
              </w:r>
            </w:hyperlink>
            <w:r>
              <w:rPr>
                <w:rFonts w:ascii="Century Gothic" w:hAnsi="Century Gothic" w:cs="Arial"/>
              </w:rPr>
              <w:t xml:space="preserve"> </w:t>
            </w:r>
            <w:r w:rsidR="004E7101">
              <w:rPr>
                <w:rFonts w:ascii="Century Gothic" w:hAnsi="Century Gothic" w:cs="Arial"/>
              </w:rPr>
              <w:t xml:space="preserve">or </w:t>
            </w:r>
            <w:r w:rsidRPr="00EE6B09">
              <w:rPr>
                <w:rFonts w:ascii="Century Gothic" w:hAnsi="Century Gothic" w:cs="Arial"/>
              </w:rPr>
              <w:t>834129895</w:t>
            </w:r>
          </w:p>
          <w:p w14:paraId="6A9371E3" w14:textId="645D48FF" w:rsidR="00780B97" w:rsidRPr="00BE54FC" w:rsidRDefault="00780B97" w:rsidP="00780B97">
            <w:pPr>
              <w:pStyle w:val="BodyText"/>
              <w:spacing w:line="240" w:lineRule="auto"/>
              <w:ind w:left="650"/>
              <w:rPr>
                <w:rFonts w:ascii="Century Gothic" w:hAnsi="Century Gothic" w:cs="Arial"/>
              </w:rPr>
            </w:pPr>
          </w:p>
        </w:tc>
      </w:tr>
    </w:tbl>
    <w:p w14:paraId="125C9D80" w14:textId="77777777" w:rsidR="009562F5" w:rsidRPr="00E55368" w:rsidRDefault="009562F5" w:rsidP="009562F5">
      <w:pPr>
        <w:rPr>
          <w:rFonts w:ascii="Century Gothic" w:hAnsi="Century Gothic"/>
        </w:rPr>
      </w:pPr>
    </w:p>
    <w:p w14:paraId="1A9CF3CF" w14:textId="77777777" w:rsidR="000D06A8" w:rsidRDefault="000D06A8">
      <w:pPr>
        <w:pBdr>
          <w:top w:val="nil"/>
          <w:left w:val="nil"/>
          <w:bottom w:val="nil"/>
          <w:right w:val="nil"/>
          <w:between w:val="nil"/>
        </w:pBdr>
        <w:rPr>
          <w:rFonts w:ascii="Century Gothic" w:hAnsi="Century Gothic"/>
          <w:color w:val="000000"/>
        </w:rPr>
        <w:sectPr w:rsidR="000D06A8" w:rsidSect="005911EF">
          <w:pgSz w:w="11906" w:h="16838"/>
          <w:pgMar w:top="1135" w:right="1440" w:bottom="1440" w:left="1440" w:header="709" w:footer="624" w:gutter="0"/>
          <w:pgNumType w:start="1"/>
          <w:cols w:space="720"/>
          <w:titlePg/>
        </w:sectPr>
      </w:pPr>
    </w:p>
    <w:p w14:paraId="54446B65" w14:textId="63D8051B" w:rsidR="00A93A63" w:rsidRDefault="00A93A63" w:rsidP="00D8135D">
      <w:pPr>
        <w:pStyle w:val="Heading1"/>
      </w:pPr>
      <w:bookmarkStart w:id="4" w:name="_Toc145484187"/>
      <w:r>
        <w:lastRenderedPageBreak/>
        <w:t>Infographic on</w:t>
      </w:r>
      <w:r w:rsidR="00D8135D">
        <w:t xml:space="preserve"> steps</w:t>
      </w:r>
      <w:bookmarkEnd w:id="4"/>
    </w:p>
    <w:p w14:paraId="34FC5F78" w14:textId="15564031" w:rsidR="00CD488B" w:rsidRPr="003C7F82" w:rsidRDefault="003C7F82" w:rsidP="00CD488B">
      <w:pPr>
        <w:spacing w:beforeLines="60" w:before="144" w:afterLines="60" w:after="144" w:line="240" w:lineRule="auto"/>
        <w:rPr>
          <w:rFonts w:ascii="Century Gothic" w:hAnsi="Century Gothic"/>
          <w:sz w:val="24"/>
          <w:szCs w:val="24"/>
        </w:rPr>
      </w:pPr>
      <w:r w:rsidRPr="003C7F82">
        <w:rPr>
          <w:rFonts w:ascii="Century Gothic" w:hAnsi="Century Gothic"/>
          <w:noProof/>
          <w:color w:val="000000"/>
          <w:sz w:val="24"/>
          <w:szCs w:val="24"/>
        </w:rPr>
        <w:drawing>
          <wp:anchor distT="0" distB="0" distL="114300" distR="114300" simplePos="0" relativeHeight="251662336" behindDoc="0" locked="0" layoutInCell="1" allowOverlap="1" wp14:anchorId="79E83CCB" wp14:editId="0128E1AB">
            <wp:simplePos x="0" y="0"/>
            <wp:positionH relativeFrom="margin">
              <wp:posOffset>1113155</wp:posOffset>
            </wp:positionH>
            <wp:positionV relativeFrom="paragraph">
              <wp:posOffset>97155</wp:posOffset>
            </wp:positionV>
            <wp:extent cx="8161655" cy="478409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161655" cy="4784090"/>
                    </a:xfrm>
                    <a:prstGeom prst="rect">
                      <a:avLst/>
                    </a:prstGeom>
                    <a:noFill/>
                  </pic:spPr>
                </pic:pic>
              </a:graphicData>
            </a:graphic>
            <wp14:sizeRelH relativeFrom="page">
              <wp14:pctWidth>0</wp14:pctWidth>
            </wp14:sizeRelH>
            <wp14:sizeRelV relativeFrom="page">
              <wp14:pctHeight>0</wp14:pctHeight>
            </wp14:sizeRelV>
          </wp:anchor>
        </w:drawing>
      </w:r>
      <w:r w:rsidR="00A93A63" w:rsidRPr="003C7F82">
        <w:rPr>
          <w:rFonts w:ascii="Century Gothic" w:hAnsi="Century Gothic"/>
          <w:color w:val="000000"/>
          <w:sz w:val="24"/>
          <w:szCs w:val="24"/>
        </w:rPr>
        <w:t>Steps for a municipality to take to establish &amp; operate third-party energy wheeling</w:t>
      </w:r>
      <w:r w:rsidRPr="003C7F82">
        <w:rPr>
          <w:rFonts w:ascii="Century Gothic" w:hAnsi="Century Gothic"/>
          <w:color w:val="000000"/>
          <w:sz w:val="24"/>
          <w:szCs w:val="24"/>
        </w:rPr>
        <w:t>.</w:t>
      </w:r>
      <w:r w:rsidR="00A93A63" w:rsidRPr="003C7F82">
        <w:rPr>
          <w:rFonts w:ascii="Century Gothic" w:hAnsi="Century Gothic"/>
          <w:color w:val="000000"/>
          <w:sz w:val="24"/>
          <w:szCs w:val="24"/>
        </w:rPr>
        <w:t xml:space="preserve"> </w:t>
      </w:r>
      <w:r w:rsidR="00CD488B" w:rsidRPr="003C7F82">
        <w:rPr>
          <w:rFonts w:ascii="Century Gothic" w:hAnsi="Century Gothic"/>
          <w:sz w:val="24"/>
          <w:szCs w:val="24"/>
        </w:rPr>
        <w:t xml:space="preserve">This embedded document provides all the </w:t>
      </w:r>
      <w:r w:rsidRPr="003C7F82">
        <w:rPr>
          <w:rFonts w:ascii="Century Gothic" w:hAnsi="Century Gothic"/>
          <w:sz w:val="24"/>
          <w:szCs w:val="24"/>
        </w:rPr>
        <w:t xml:space="preserve">infographic and </w:t>
      </w:r>
      <w:r w:rsidR="00CD488B" w:rsidRPr="003C7F82">
        <w:rPr>
          <w:rFonts w:ascii="Century Gothic" w:hAnsi="Century Gothic"/>
          <w:sz w:val="24"/>
          <w:szCs w:val="24"/>
        </w:rPr>
        <w:t>scenario images in editable format. (double click the icon)</w:t>
      </w:r>
    </w:p>
    <w:p w14:paraId="13E55D18" w14:textId="568A5E73" w:rsidR="00CD488B" w:rsidRDefault="009677F4">
      <w:pPr>
        <w:pBdr>
          <w:top w:val="nil"/>
          <w:left w:val="nil"/>
          <w:bottom w:val="nil"/>
          <w:right w:val="nil"/>
          <w:between w:val="nil"/>
        </w:pBdr>
        <w:rPr>
          <w:rFonts w:ascii="Century Gothic" w:hAnsi="Century Gothic"/>
          <w:color w:val="000000"/>
        </w:rPr>
        <w:sectPr w:rsidR="00CD488B" w:rsidSect="00CD488B">
          <w:pgSz w:w="16838" w:h="11906" w:orient="landscape"/>
          <w:pgMar w:top="709" w:right="1135" w:bottom="567" w:left="1440" w:header="709" w:footer="624" w:gutter="0"/>
          <w:pgNumType w:start="1"/>
          <w:cols w:space="720"/>
          <w:titlePg/>
          <w:docGrid w:linePitch="272"/>
        </w:sectPr>
      </w:pPr>
      <w:r>
        <w:rPr>
          <w:rFonts w:ascii="Century Gothic" w:hAnsi="Century Gothic"/>
          <w:color w:val="000000"/>
        </w:rPr>
        <w:object w:dxaOrig="1508" w:dyaOrig="983" w14:anchorId="2A8C56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75.4pt;height:48.9pt" o:ole="" o:bordertopcolor="yellow pure" o:borderleftcolor="yellow pure" o:borderbottomcolor="yellow pure" o:borderrightcolor="yellow pure">
            <v:imagedata r:id="rId28" o:title=""/>
            <w10:bordertop type="single" width="12"/>
            <w10:borderleft type="single" width="12"/>
            <w10:borderbottom type="single" width="12"/>
            <w10:borderright type="single" width="12"/>
          </v:shape>
          <o:OLEObject Type="Embed" ProgID="PowerPoint.Show.12" ShapeID="_x0000_i1047" DrawAspect="Icon" ObjectID="_1756099367" r:id="rId29"/>
        </w:object>
      </w:r>
    </w:p>
    <w:p w14:paraId="02BF8CBE" w14:textId="2034E540" w:rsidR="00831A39" w:rsidRDefault="00831A39">
      <w:pPr>
        <w:pBdr>
          <w:top w:val="nil"/>
          <w:left w:val="nil"/>
          <w:bottom w:val="nil"/>
          <w:right w:val="nil"/>
          <w:between w:val="nil"/>
        </w:pBdr>
        <w:rPr>
          <w:rFonts w:ascii="Century Gothic" w:hAnsi="Century Gothic"/>
          <w:color w:val="000000"/>
        </w:rPr>
      </w:pPr>
    </w:p>
    <w:p w14:paraId="284B87A4" w14:textId="77777777" w:rsidR="00831A39" w:rsidRDefault="00831A39">
      <w:pPr>
        <w:pBdr>
          <w:top w:val="nil"/>
          <w:left w:val="nil"/>
          <w:bottom w:val="nil"/>
          <w:right w:val="nil"/>
          <w:between w:val="nil"/>
        </w:pBdr>
        <w:rPr>
          <w:rFonts w:ascii="Century Gothic" w:hAnsi="Century Gothic"/>
          <w:color w:val="000000"/>
        </w:rPr>
      </w:pPr>
    </w:p>
    <w:p w14:paraId="103952AF" w14:textId="77777777" w:rsidR="009562F5" w:rsidRPr="00E55368" w:rsidRDefault="009562F5">
      <w:pPr>
        <w:pBdr>
          <w:top w:val="nil"/>
          <w:left w:val="nil"/>
          <w:bottom w:val="nil"/>
          <w:right w:val="nil"/>
          <w:between w:val="nil"/>
        </w:pBdr>
        <w:rPr>
          <w:rFonts w:ascii="Century Gothic" w:hAnsi="Century Gothic"/>
          <w:color w:val="000000"/>
        </w:rPr>
      </w:pPr>
    </w:p>
    <w:p w14:paraId="2EA99550" w14:textId="76D15F93" w:rsidR="00100F52" w:rsidRPr="00E55368" w:rsidRDefault="00100F52" w:rsidP="007C7824">
      <w:pPr>
        <w:pBdr>
          <w:top w:val="nil"/>
          <w:left w:val="nil"/>
          <w:bottom w:val="nil"/>
          <w:right w:val="nil"/>
          <w:between w:val="nil"/>
        </w:pBdr>
        <w:jc w:val="center"/>
        <w:rPr>
          <w:rFonts w:ascii="Century Gothic" w:hAnsi="Century Gothic"/>
          <w:b/>
          <w:noProof/>
          <w:color w:val="000000"/>
          <w:sz w:val="56"/>
          <w:szCs w:val="56"/>
        </w:rPr>
      </w:pPr>
      <w:r w:rsidRPr="00E55368">
        <w:rPr>
          <w:rFonts w:ascii="Century Gothic" w:hAnsi="Century Gothic"/>
          <w:b/>
          <w:noProof/>
          <w:color w:val="000000"/>
          <w:sz w:val="56"/>
          <w:szCs w:val="56"/>
        </w:rPr>
        <w:t>Municipality Logo</w:t>
      </w:r>
    </w:p>
    <w:p w14:paraId="0876D289" w14:textId="77777777" w:rsidR="00AD3179" w:rsidRPr="00E55368" w:rsidRDefault="00AD3179" w:rsidP="007C7824">
      <w:pPr>
        <w:pBdr>
          <w:top w:val="nil"/>
          <w:left w:val="nil"/>
          <w:bottom w:val="nil"/>
          <w:right w:val="nil"/>
          <w:between w:val="nil"/>
        </w:pBdr>
        <w:jc w:val="center"/>
        <w:rPr>
          <w:rFonts w:ascii="Century Gothic" w:hAnsi="Century Gothic"/>
          <w:b/>
          <w:color w:val="000000"/>
          <w:sz w:val="56"/>
          <w:szCs w:val="56"/>
        </w:rPr>
      </w:pPr>
    </w:p>
    <w:p w14:paraId="75881458" w14:textId="1FD713C6" w:rsidR="008F3E49" w:rsidRPr="00E55368" w:rsidRDefault="00E55368" w:rsidP="007C7824">
      <w:pPr>
        <w:pBdr>
          <w:top w:val="nil"/>
          <w:left w:val="nil"/>
          <w:bottom w:val="nil"/>
          <w:right w:val="nil"/>
          <w:between w:val="nil"/>
        </w:pBdr>
        <w:jc w:val="center"/>
        <w:rPr>
          <w:rFonts w:ascii="Century Gothic" w:hAnsi="Century Gothic"/>
          <w:b/>
          <w:color w:val="000000"/>
          <w:sz w:val="56"/>
          <w:szCs w:val="56"/>
        </w:rPr>
      </w:pPr>
      <w:r w:rsidRPr="002A0329">
        <w:rPr>
          <w:rFonts w:ascii="Century Gothic" w:hAnsi="Century Gothic"/>
          <w:b/>
          <w:color w:val="000000"/>
          <w:sz w:val="56"/>
          <w:szCs w:val="56"/>
          <w:highlight w:val="yellow"/>
        </w:rPr>
        <w:t xml:space="preserve">Third Party Municipal </w:t>
      </w:r>
      <w:r w:rsidR="00C82A06" w:rsidRPr="002A0329">
        <w:rPr>
          <w:rFonts w:ascii="Century Gothic" w:hAnsi="Century Gothic"/>
          <w:b/>
          <w:color w:val="000000"/>
          <w:sz w:val="56"/>
          <w:szCs w:val="56"/>
          <w:highlight w:val="yellow"/>
        </w:rPr>
        <w:t xml:space="preserve">Wheeling </w:t>
      </w:r>
      <w:r w:rsidR="002A0329" w:rsidRPr="002A0329">
        <w:rPr>
          <w:rFonts w:ascii="Century Gothic" w:hAnsi="Century Gothic"/>
          <w:b/>
          <w:color w:val="000000"/>
          <w:sz w:val="56"/>
          <w:szCs w:val="56"/>
          <w:highlight w:val="yellow"/>
        </w:rPr>
        <w:t xml:space="preserve">illustrative </w:t>
      </w:r>
      <w:r w:rsidR="002E2C5C" w:rsidRPr="002A0329">
        <w:rPr>
          <w:rFonts w:ascii="Century Gothic" w:hAnsi="Century Gothic"/>
          <w:b/>
          <w:color w:val="000000"/>
          <w:sz w:val="56"/>
          <w:szCs w:val="56"/>
          <w:highlight w:val="yellow"/>
        </w:rPr>
        <w:t>G</w:t>
      </w:r>
      <w:r w:rsidR="00C82A06" w:rsidRPr="002A0329">
        <w:rPr>
          <w:rFonts w:ascii="Century Gothic" w:hAnsi="Century Gothic"/>
          <w:b/>
          <w:color w:val="000000"/>
          <w:sz w:val="56"/>
          <w:szCs w:val="56"/>
          <w:highlight w:val="yellow"/>
        </w:rPr>
        <w:t>uidelines</w:t>
      </w:r>
      <w:r w:rsidR="00E6458B" w:rsidRPr="00E55368">
        <w:rPr>
          <w:rFonts w:ascii="Century Gothic" w:hAnsi="Century Gothic"/>
          <w:b/>
          <w:color w:val="000000"/>
          <w:sz w:val="56"/>
          <w:szCs w:val="56"/>
        </w:rPr>
        <w:t xml:space="preserve"> </w:t>
      </w:r>
    </w:p>
    <w:p w14:paraId="0081717A" w14:textId="77777777" w:rsidR="008F3E49" w:rsidRPr="00E55368" w:rsidRDefault="008F3E49" w:rsidP="004D2717">
      <w:pPr>
        <w:pBdr>
          <w:top w:val="nil"/>
          <w:left w:val="nil"/>
          <w:bottom w:val="nil"/>
          <w:right w:val="nil"/>
          <w:between w:val="nil"/>
        </w:pBdr>
        <w:rPr>
          <w:rFonts w:ascii="Century Gothic" w:hAnsi="Century Gothic"/>
          <w:color w:val="000000"/>
        </w:rPr>
      </w:pPr>
    </w:p>
    <w:p w14:paraId="00EB1264" w14:textId="3A974CBE" w:rsidR="008F3E49" w:rsidRPr="00E55368" w:rsidRDefault="00100F52" w:rsidP="007C7824">
      <w:pPr>
        <w:pBdr>
          <w:top w:val="nil"/>
          <w:left w:val="nil"/>
          <w:bottom w:val="nil"/>
          <w:right w:val="nil"/>
          <w:between w:val="nil"/>
        </w:pBdr>
        <w:jc w:val="center"/>
        <w:rPr>
          <w:rFonts w:ascii="Century Gothic" w:hAnsi="Century Gothic"/>
          <w:color w:val="000000"/>
          <w:sz w:val="32"/>
          <w:szCs w:val="32"/>
        </w:rPr>
      </w:pPr>
      <w:r w:rsidRPr="00E55368">
        <w:rPr>
          <w:rFonts w:ascii="Century Gothic" w:hAnsi="Century Gothic"/>
          <w:color w:val="000000"/>
          <w:sz w:val="32"/>
          <w:szCs w:val="32"/>
        </w:rPr>
        <w:t>XX</w:t>
      </w:r>
      <w:r w:rsidR="00580197" w:rsidRPr="00E55368">
        <w:rPr>
          <w:rFonts w:ascii="Century Gothic" w:hAnsi="Century Gothic"/>
          <w:color w:val="000000"/>
          <w:sz w:val="32"/>
          <w:szCs w:val="32"/>
        </w:rPr>
        <w:t xml:space="preserve"> Local Municipality</w:t>
      </w:r>
    </w:p>
    <w:p w14:paraId="7106BD34" w14:textId="77777777" w:rsidR="00580197" w:rsidRPr="00E55368" w:rsidRDefault="00580197">
      <w:pPr>
        <w:pBdr>
          <w:top w:val="nil"/>
          <w:left w:val="nil"/>
          <w:bottom w:val="nil"/>
          <w:right w:val="nil"/>
          <w:between w:val="nil"/>
        </w:pBdr>
        <w:rPr>
          <w:rFonts w:ascii="Century Gothic" w:hAnsi="Century Gothic"/>
          <w:color w:val="000000"/>
          <w:sz w:val="32"/>
          <w:szCs w:val="32"/>
        </w:rPr>
      </w:pPr>
    </w:p>
    <w:p w14:paraId="552D3B3A" w14:textId="77777777" w:rsidR="008F3E49" w:rsidRPr="00E55368" w:rsidRDefault="008F3E49">
      <w:pPr>
        <w:pBdr>
          <w:top w:val="nil"/>
          <w:left w:val="nil"/>
          <w:bottom w:val="nil"/>
          <w:right w:val="nil"/>
          <w:between w:val="nil"/>
        </w:pBdr>
        <w:rPr>
          <w:rFonts w:ascii="Century Gothic" w:hAnsi="Century Gothic"/>
          <w:b/>
          <w:sz w:val="32"/>
          <w:szCs w:val="32"/>
        </w:rPr>
      </w:pPr>
    </w:p>
    <w:p w14:paraId="4F71B97D" w14:textId="38705FC1" w:rsidR="008F3E49" w:rsidRPr="00E55368" w:rsidRDefault="00C82A06">
      <w:pPr>
        <w:pBdr>
          <w:top w:val="nil"/>
          <w:left w:val="nil"/>
          <w:bottom w:val="nil"/>
          <w:right w:val="nil"/>
          <w:between w:val="nil"/>
        </w:pBdr>
        <w:rPr>
          <w:rFonts w:ascii="Century Gothic" w:hAnsi="Century Gothic"/>
          <w:color w:val="000000"/>
        </w:rPr>
      </w:pPr>
      <w:r w:rsidRPr="00E55368">
        <w:rPr>
          <w:rFonts w:ascii="Century Gothic" w:hAnsi="Century Gothic"/>
          <w:color w:val="000000"/>
        </w:rPr>
        <w:t xml:space="preserve"> </w:t>
      </w:r>
    </w:p>
    <w:p w14:paraId="58E5D796" w14:textId="77777777" w:rsidR="008F3E49" w:rsidRPr="00E55368" w:rsidRDefault="008F3E49">
      <w:pPr>
        <w:pBdr>
          <w:top w:val="nil"/>
          <w:left w:val="nil"/>
          <w:bottom w:val="nil"/>
          <w:right w:val="nil"/>
          <w:between w:val="nil"/>
        </w:pBdr>
        <w:rPr>
          <w:rFonts w:ascii="Century Gothic" w:hAnsi="Century Gothic"/>
          <w:color w:val="000000"/>
        </w:rPr>
      </w:pPr>
    </w:p>
    <w:p w14:paraId="4FB48B98" w14:textId="77777777" w:rsidR="008F3E49" w:rsidRPr="00E55368" w:rsidRDefault="008F3E49">
      <w:pPr>
        <w:pBdr>
          <w:top w:val="nil"/>
          <w:left w:val="nil"/>
          <w:bottom w:val="nil"/>
          <w:right w:val="nil"/>
          <w:between w:val="nil"/>
        </w:pBdr>
        <w:rPr>
          <w:rFonts w:ascii="Century Gothic" w:hAnsi="Century Gothic"/>
          <w:color w:val="000000"/>
        </w:rPr>
      </w:pPr>
    </w:p>
    <w:tbl>
      <w:tblPr>
        <w:tblW w:w="9030" w:type="dxa"/>
        <w:tblBorders>
          <w:top w:val="nil"/>
          <w:left w:val="nil"/>
          <w:bottom w:val="nil"/>
          <w:right w:val="nil"/>
          <w:insideH w:val="nil"/>
          <w:insideV w:val="nil"/>
        </w:tblBorders>
        <w:tblLayout w:type="fixed"/>
        <w:tblCellMar>
          <w:left w:w="0" w:type="dxa"/>
          <w:right w:w="0" w:type="dxa"/>
        </w:tblCellMar>
        <w:tblLook w:val="04A0" w:firstRow="1" w:lastRow="0" w:firstColumn="1" w:lastColumn="0" w:noHBand="0" w:noVBand="1"/>
      </w:tblPr>
      <w:tblGrid>
        <w:gridCol w:w="9030"/>
      </w:tblGrid>
      <w:tr w:rsidR="008F3E49" w:rsidRPr="00E55368" w14:paraId="6EE9F594" w14:textId="77777777" w:rsidTr="000F2751">
        <w:trPr>
          <w:trHeight w:val="582"/>
        </w:trPr>
        <w:tc>
          <w:tcPr>
            <w:tcW w:w="9030" w:type="dxa"/>
            <w:shd w:val="clear" w:color="auto" w:fill="auto"/>
            <w:tcMar>
              <w:top w:w="425" w:type="dxa"/>
              <w:bottom w:w="284" w:type="dxa"/>
            </w:tcMar>
            <w:vAlign w:val="center"/>
          </w:tcPr>
          <w:p w14:paraId="5C5C13C5" w14:textId="2A968C15" w:rsidR="008F3E49" w:rsidRPr="00E55368" w:rsidRDefault="00E90FC6" w:rsidP="001C6739">
            <w:pPr>
              <w:pBdr>
                <w:top w:val="nil"/>
                <w:left w:val="nil"/>
                <w:bottom w:val="nil"/>
                <w:right w:val="nil"/>
                <w:between w:val="nil"/>
              </w:pBdr>
              <w:jc w:val="center"/>
              <w:rPr>
                <w:rFonts w:ascii="Century Gothic" w:hAnsi="Century Gothic"/>
                <w:b/>
                <w:color w:val="626162"/>
              </w:rPr>
            </w:pPr>
            <w:r w:rsidRPr="00E55368">
              <w:rPr>
                <w:rFonts w:ascii="Century Gothic" w:hAnsi="Century Gothic"/>
                <w:color w:val="626162"/>
                <w:sz w:val="22"/>
                <w:szCs w:val="22"/>
              </w:rPr>
              <w:t>Guideline</w:t>
            </w:r>
            <w:r w:rsidR="00C82A06" w:rsidRPr="00E55368">
              <w:rPr>
                <w:rFonts w:ascii="Century Gothic" w:hAnsi="Century Gothic"/>
                <w:color w:val="626162"/>
                <w:sz w:val="22"/>
                <w:szCs w:val="22"/>
              </w:rPr>
              <w:t xml:space="preserve"> for allowing third-party access to </w:t>
            </w:r>
            <w:r w:rsidR="00100F52" w:rsidRPr="00E55368">
              <w:rPr>
                <w:rFonts w:ascii="Century Gothic" w:hAnsi="Century Gothic"/>
                <w:color w:val="626162"/>
                <w:sz w:val="22"/>
                <w:szCs w:val="22"/>
              </w:rPr>
              <w:t>XX</w:t>
            </w:r>
            <w:r w:rsidR="00DA4145" w:rsidRPr="00E55368">
              <w:rPr>
                <w:rFonts w:ascii="Century Gothic" w:hAnsi="Century Gothic"/>
                <w:color w:val="626162"/>
                <w:sz w:val="22"/>
                <w:szCs w:val="22"/>
              </w:rPr>
              <w:t xml:space="preserve"> Local</w:t>
            </w:r>
            <w:r w:rsidRPr="00E55368">
              <w:rPr>
                <w:rFonts w:ascii="Century Gothic" w:hAnsi="Century Gothic"/>
                <w:color w:val="626162"/>
                <w:sz w:val="22"/>
                <w:szCs w:val="22"/>
              </w:rPr>
              <w:t xml:space="preserve"> Municipality’s</w:t>
            </w:r>
            <w:r w:rsidR="00C82A06" w:rsidRPr="00E55368">
              <w:rPr>
                <w:rFonts w:ascii="Century Gothic" w:hAnsi="Century Gothic"/>
                <w:color w:val="626162"/>
                <w:sz w:val="22"/>
                <w:szCs w:val="22"/>
              </w:rPr>
              <w:t xml:space="preserve"> electrical </w:t>
            </w:r>
            <w:r w:rsidR="001C6739" w:rsidRPr="00E55368">
              <w:rPr>
                <w:rFonts w:ascii="Century Gothic" w:hAnsi="Century Gothic"/>
                <w:color w:val="626162"/>
                <w:sz w:val="22"/>
                <w:szCs w:val="22"/>
              </w:rPr>
              <w:t>network</w:t>
            </w:r>
          </w:p>
          <w:p w14:paraId="6138A127" w14:textId="77777777" w:rsidR="00866040" w:rsidRPr="00E55368" w:rsidRDefault="00866040" w:rsidP="001C6739">
            <w:pPr>
              <w:pBdr>
                <w:top w:val="nil"/>
                <w:left w:val="nil"/>
                <w:bottom w:val="nil"/>
                <w:right w:val="nil"/>
                <w:between w:val="nil"/>
              </w:pBdr>
              <w:jc w:val="center"/>
              <w:rPr>
                <w:rFonts w:ascii="Century Gothic" w:hAnsi="Century Gothic"/>
                <w:b/>
                <w:color w:val="626162"/>
              </w:rPr>
            </w:pPr>
          </w:p>
          <w:p w14:paraId="536F4654" w14:textId="287B14C6" w:rsidR="008F3E49" w:rsidRPr="00E55368" w:rsidRDefault="001C6739" w:rsidP="001C6739">
            <w:pPr>
              <w:pBdr>
                <w:top w:val="nil"/>
                <w:left w:val="nil"/>
                <w:bottom w:val="nil"/>
                <w:right w:val="nil"/>
                <w:between w:val="nil"/>
              </w:pBdr>
              <w:jc w:val="center"/>
              <w:rPr>
                <w:rFonts w:ascii="Century Gothic" w:hAnsi="Century Gothic"/>
                <w:bCs/>
                <w:color w:val="000000"/>
              </w:rPr>
            </w:pPr>
            <w:r w:rsidRPr="00E55368">
              <w:rPr>
                <w:rFonts w:ascii="Century Gothic" w:hAnsi="Century Gothic"/>
                <w:bCs/>
                <w:color w:val="000000"/>
                <w:sz w:val="22"/>
                <w:szCs w:val="22"/>
              </w:rPr>
              <w:t>Version</w:t>
            </w:r>
            <w:r w:rsidR="00F21F7B">
              <w:rPr>
                <w:rFonts w:ascii="Century Gothic" w:hAnsi="Century Gothic"/>
                <w:bCs/>
                <w:color w:val="000000"/>
                <w:sz w:val="22"/>
                <w:szCs w:val="22"/>
              </w:rPr>
              <w:t xml:space="preserve"> 1</w:t>
            </w:r>
            <w:r w:rsidRPr="00E55368">
              <w:rPr>
                <w:rFonts w:ascii="Century Gothic" w:hAnsi="Century Gothic"/>
                <w:bCs/>
                <w:color w:val="000000"/>
                <w:sz w:val="22"/>
                <w:szCs w:val="22"/>
              </w:rPr>
              <w:t xml:space="preserve">: </w:t>
            </w:r>
            <w:r w:rsidR="002341EE">
              <w:rPr>
                <w:rFonts w:ascii="Century Gothic" w:hAnsi="Century Gothic"/>
                <w:bCs/>
                <w:color w:val="000000"/>
                <w:sz w:val="22"/>
                <w:szCs w:val="22"/>
              </w:rPr>
              <w:t>September</w:t>
            </w:r>
            <w:r w:rsidR="000E2A0C">
              <w:rPr>
                <w:rFonts w:ascii="Century Gothic" w:hAnsi="Century Gothic"/>
                <w:bCs/>
                <w:color w:val="000000"/>
                <w:sz w:val="22"/>
                <w:szCs w:val="22"/>
              </w:rPr>
              <w:t xml:space="preserve"> </w:t>
            </w:r>
            <w:r w:rsidR="00E55368">
              <w:rPr>
                <w:rFonts w:ascii="Century Gothic" w:hAnsi="Century Gothic"/>
                <w:bCs/>
                <w:color w:val="000000"/>
                <w:sz w:val="22"/>
                <w:szCs w:val="22"/>
              </w:rPr>
              <w:t>2023</w:t>
            </w:r>
          </w:p>
        </w:tc>
      </w:tr>
    </w:tbl>
    <w:p w14:paraId="20AA42D0" w14:textId="115F95F8" w:rsidR="00847AB8" w:rsidRPr="00E55368" w:rsidRDefault="00C82A06" w:rsidP="00C83472">
      <w:pPr>
        <w:rPr>
          <w:rFonts w:ascii="Century Gothic" w:hAnsi="Century Gothic"/>
        </w:rPr>
      </w:pPr>
      <w:r w:rsidRPr="00E55368">
        <w:rPr>
          <w:rFonts w:ascii="Century Gothic" w:hAnsi="Century Gothic"/>
        </w:rPr>
        <w:br w:type="page"/>
      </w:r>
    </w:p>
    <w:bookmarkStart w:id="5" w:name="_Toc145484188" w:displacedByCustomXml="next"/>
    <w:sdt>
      <w:sdtPr>
        <w:rPr>
          <w:color w:val="auto"/>
          <w:sz w:val="20"/>
          <w:szCs w:val="20"/>
        </w:rPr>
        <w:id w:val="1224107310"/>
        <w:docPartObj>
          <w:docPartGallery w:val="Table of Contents"/>
          <w:docPartUnique/>
        </w:docPartObj>
      </w:sdtPr>
      <w:sdtEndPr>
        <w:rPr>
          <w:b w:val="0"/>
          <w:bCs/>
          <w:noProof/>
        </w:rPr>
      </w:sdtEndPr>
      <w:sdtContent>
        <w:p w14:paraId="3ED1F3F0" w14:textId="430EA923" w:rsidR="00847AB8" w:rsidRPr="00257292" w:rsidRDefault="00847AB8" w:rsidP="000628BA">
          <w:pPr>
            <w:pStyle w:val="Heading1"/>
          </w:pPr>
          <w:r w:rsidRPr="00257292">
            <w:t>Contents</w:t>
          </w:r>
          <w:bookmarkEnd w:id="5"/>
        </w:p>
        <w:p w14:paraId="1C5A946D" w14:textId="743946F2" w:rsidR="00DF133C" w:rsidRPr="00BA7B52" w:rsidRDefault="00847AB8" w:rsidP="00DF133C">
          <w:pPr>
            <w:pStyle w:val="TOC1"/>
            <w:rPr>
              <w:rFonts w:ascii="Century Gothic" w:eastAsiaTheme="minorEastAsia" w:hAnsi="Century Gothic" w:cstheme="minorBidi"/>
              <w:noProof/>
              <w:sz w:val="32"/>
              <w:szCs w:val="32"/>
            </w:rPr>
          </w:pPr>
          <w:r w:rsidRPr="00BA7B52">
            <w:rPr>
              <w:rFonts w:ascii="Century Gothic" w:hAnsi="Century Gothic"/>
            </w:rPr>
            <w:fldChar w:fldCharType="begin"/>
          </w:r>
          <w:r w:rsidRPr="00BA7B52">
            <w:rPr>
              <w:rFonts w:ascii="Century Gothic" w:hAnsi="Century Gothic"/>
            </w:rPr>
            <w:instrText xml:space="preserve"> TOC \o "1-3" \h \z \u </w:instrText>
          </w:r>
          <w:r w:rsidRPr="00BA7B52">
            <w:rPr>
              <w:rFonts w:ascii="Century Gothic" w:hAnsi="Century Gothic"/>
            </w:rPr>
            <w:fldChar w:fldCharType="separate"/>
          </w:r>
          <w:hyperlink w:anchor="_Toc145484189" w:history="1">
            <w:r w:rsidR="00DF133C" w:rsidRPr="00BA7B52">
              <w:rPr>
                <w:rStyle w:val="Hyperlink"/>
                <w:rFonts w:ascii="Century Gothic" w:hAnsi="Century Gothic"/>
                <w:noProof/>
                <w:sz w:val="28"/>
                <w:szCs w:val="28"/>
              </w:rPr>
              <w:t>5.</w:t>
            </w:r>
            <w:r w:rsidR="00DF133C" w:rsidRPr="00BA7B52">
              <w:rPr>
                <w:rFonts w:ascii="Century Gothic" w:eastAsiaTheme="minorEastAsia" w:hAnsi="Century Gothic" w:cstheme="minorBidi"/>
                <w:noProof/>
                <w:sz w:val="32"/>
                <w:szCs w:val="32"/>
              </w:rPr>
              <w:tab/>
            </w:r>
            <w:r w:rsidR="00DF133C" w:rsidRPr="00BA7B52">
              <w:rPr>
                <w:rStyle w:val="Hyperlink"/>
                <w:rFonts w:ascii="Century Gothic" w:hAnsi="Century Gothic"/>
                <w:noProof/>
                <w:sz w:val="28"/>
                <w:szCs w:val="28"/>
              </w:rPr>
              <w:t>List of Acronyms</w:t>
            </w:r>
            <w:r w:rsidR="00DF133C" w:rsidRPr="00BA7B52">
              <w:rPr>
                <w:rFonts w:ascii="Century Gothic" w:hAnsi="Century Gothic"/>
                <w:noProof/>
                <w:webHidden/>
              </w:rPr>
              <w:tab/>
            </w:r>
            <w:r w:rsidR="00DF133C" w:rsidRPr="00BA7B52">
              <w:rPr>
                <w:rFonts w:ascii="Century Gothic" w:hAnsi="Century Gothic"/>
                <w:noProof/>
                <w:webHidden/>
              </w:rPr>
              <w:fldChar w:fldCharType="begin"/>
            </w:r>
            <w:r w:rsidR="00DF133C" w:rsidRPr="00BA7B52">
              <w:rPr>
                <w:rFonts w:ascii="Century Gothic" w:hAnsi="Century Gothic"/>
                <w:noProof/>
                <w:webHidden/>
              </w:rPr>
              <w:instrText xml:space="preserve"> PAGEREF _Toc145484189 \h </w:instrText>
            </w:r>
            <w:r w:rsidR="00DF133C" w:rsidRPr="00BA7B52">
              <w:rPr>
                <w:rFonts w:ascii="Century Gothic" w:hAnsi="Century Gothic"/>
                <w:noProof/>
                <w:webHidden/>
              </w:rPr>
            </w:r>
            <w:r w:rsidR="00DF133C" w:rsidRPr="00BA7B52">
              <w:rPr>
                <w:rFonts w:ascii="Century Gothic" w:hAnsi="Century Gothic"/>
                <w:noProof/>
                <w:webHidden/>
              </w:rPr>
              <w:fldChar w:fldCharType="separate"/>
            </w:r>
            <w:r w:rsidR="00DF133C" w:rsidRPr="00BA7B52">
              <w:rPr>
                <w:rFonts w:ascii="Century Gothic" w:hAnsi="Century Gothic"/>
                <w:noProof/>
                <w:webHidden/>
              </w:rPr>
              <w:t>3</w:t>
            </w:r>
            <w:r w:rsidR="00DF133C" w:rsidRPr="00BA7B52">
              <w:rPr>
                <w:rFonts w:ascii="Century Gothic" w:hAnsi="Century Gothic"/>
                <w:noProof/>
                <w:webHidden/>
              </w:rPr>
              <w:fldChar w:fldCharType="end"/>
            </w:r>
          </w:hyperlink>
        </w:p>
        <w:p w14:paraId="59FCD11E" w14:textId="3BF83556" w:rsidR="00DF133C" w:rsidRPr="00BA7B52" w:rsidRDefault="00DF133C" w:rsidP="00DF133C">
          <w:pPr>
            <w:pStyle w:val="TOC1"/>
            <w:rPr>
              <w:rFonts w:ascii="Century Gothic" w:eastAsiaTheme="minorEastAsia" w:hAnsi="Century Gothic" w:cstheme="minorBidi"/>
              <w:noProof/>
              <w:sz w:val="32"/>
              <w:szCs w:val="32"/>
            </w:rPr>
          </w:pPr>
          <w:hyperlink w:anchor="_Toc145484190" w:history="1">
            <w:r w:rsidRPr="00BA7B52">
              <w:rPr>
                <w:rStyle w:val="Hyperlink"/>
                <w:rFonts w:ascii="Century Gothic" w:hAnsi="Century Gothic"/>
                <w:noProof/>
                <w:sz w:val="28"/>
                <w:szCs w:val="28"/>
              </w:rPr>
              <w:t>6.</w:t>
            </w:r>
            <w:r w:rsidRPr="00BA7B52">
              <w:rPr>
                <w:rFonts w:ascii="Century Gothic" w:eastAsiaTheme="minorEastAsia" w:hAnsi="Century Gothic" w:cstheme="minorBidi"/>
                <w:noProof/>
                <w:sz w:val="32"/>
                <w:szCs w:val="32"/>
              </w:rPr>
              <w:tab/>
            </w:r>
            <w:r w:rsidRPr="00BA7B52">
              <w:rPr>
                <w:rStyle w:val="Hyperlink"/>
                <w:rFonts w:ascii="Century Gothic" w:hAnsi="Century Gothic"/>
                <w:bCs/>
                <w:noProof/>
                <w:sz w:val="28"/>
                <w:szCs w:val="28"/>
              </w:rPr>
              <w:t>List of Definitions</w:t>
            </w:r>
            <w:r w:rsidRPr="00BA7B52">
              <w:rPr>
                <w:rFonts w:ascii="Century Gothic" w:hAnsi="Century Gothic"/>
                <w:noProof/>
                <w:webHidden/>
              </w:rPr>
              <w:tab/>
            </w:r>
            <w:r w:rsidRPr="00BA7B52">
              <w:rPr>
                <w:rFonts w:ascii="Century Gothic" w:hAnsi="Century Gothic"/>
                <w:noProof/>
                <w:webHidden/>
              </w:rPr>
              <w:fldChar w:fldCharType="begin"/>
            </w:r>
            <w:r w:rsidRPr="00BA7B52">
              <w:rPr>
                <w:rFonts w:ascii="Century Gothic" w:hAnsi="Century Gothic"/>
                <w:noProof/>
                <w:webHidden/>
              </w:rPr>
              <w:instrText xml:space="preserve"> PAGEREF _Toc145484190 \h </w:instrText>
            </w:r>
            <w:r w:rsidRPr="00BA7B52">
              <w:rPr>
                <w:rFonts w:ascii="Century Gothic" w:hAnsi="Century Gothic"/>
                <w:noProof/>
                <w:webHidden/>
              </w:rPr>
            </w:r>
            <w:r w:rsidRPr="00BA7B52">
              <w:rPr>
                <w:rFonts w:ascii="Century Gothic" w:hAnsi="Century Gothic"/>
                <w:noProof/>
                <w:webHidden/>
              </w:rPr>
              <w:fldChar w:fldCharType="separate"/>
            </w:r>
            <w:r w:rsidRPr="00BA7B52">
              <w:rPr>
                <w:rFonts w:ascii="Century Gothic" w:hAnsi="Century Gothic"/>
                <w:noProof/>
                <w:webHidden/>
              </w:rPr>
              <w:t>4</w:t>
            </w:r>
            <w:r w:rsidRPr="00BA7B52">
              <w:rPr>
                <w:rFonts w:ascii="Century Gothic" w:hAnsi="Century Gothic"/>
                <w:noProof/>
                <w:webHidden/>
              </w:rPr>
              <w:fldChar w:fldCharType="end"/>
            </w:r>
          </w:hyperlink>
        </w:p>
        <w:p w14:paraId="52EF5C97" w14:textId="60071BA9" w:rsidR="00DF133C" w:rsidRPr="00BA7B52" w:rsidRDefault="00DF133C" w:rsidP="00DF133C">
          <w:pPr>
            <w:pStyle w:val="TOC1"/>
            <w:rPr>
              <w:rFonts w:ascii="Century Gothic" w:eastAsiaTheme="minorEastAsia" w:hAnsi="Century Gothic" w:cstheme="minorBidi"/>
              <w:noProof/>
              <w:sz w:val="32"/>
              <w:szCs w:val="32"/>
            </w:rPr>
          </w:pPr>
          <w:hyperlink w:anchor="_Toc145484191" w:history="1">
            <w:r w:rsidRPr="00BA7B52">
              <w:rPr>
                <w:rStyle w:val="Hyperlink"/>
                <w:rFonts w:ascii="Century Gothic" w:hAnsi="Century Gothic"/>
                <w:noProof/>
                <w:sz w:val="28"/>
                <w:szCs w:val="28"/>
              </w:rPr>
              <w:t>7.</w:t>
            </w:r>
            <w:r w:rsidRPr="00BA7B52">
              <w:rPr>
                <w:rFonts w:ascii="Century Gothic" w:eastAsiaTheme="minorEastAsia" w:hAnsi="Century Gothic" w:cstheme="minorBidi"/>
                <w:noProof/>
                <w:sz w:val="32"/>
                <w:szCs w:val="32"/>
              </w:rPr>
              <w:tab/>
            </w:r>
            <w:r w:rsidRPr="00BA7B52">
              <w:rPr>
                <w:rStyle w:val="Hyperlink"/>
                <w:rFonts w:ascii="Century Gothic" w:hAnsi="Century Gothic"/>
                <w:noProof/>
                <w:sz w:val="28"/>
                <w:szCs w:val="28"/>
              </w:rPr>
              <w:t>Introduction</w:t>
            </w:r>
            <w:r w:rsidRPr="00BA7B52">
              <w:rPr>
                <w:rFonts w:ascii="Century Gothic" w:hAnsi="Century Gothic"/>
                <w:noProof/>
                <w:webHidden/>
              </w:rPr>
              <w:tab/>
            </w:r>
            <w:r w:rsidRPr="00BA7B52">
              <w:rPr>
                <w:rFonts w:ascii="Century Gothic" w:hAnsi="Century Gothic"/>
                <w:noProof/>
                <w:webHidden/>
              </w:rPr>
              <w:fldChar w:fldCharType="begin"/>
            </w:r>
            <w:r w:rsidRPr="00BA7B52">
              <w:rPr>
                <w:rFonts w:ascii="Century Gothic" w:hAnsi="Century Gothic"/>
                <w:noProof/>
                <w:webHidden/>
              </w:rPr>
              <w:instrText xml:space="preserve"> PAGEREF _Toc145484191 \h </w:instrText>
            </w:r>
            <w:r w:rsidRPr="00BA7B52">
              <w:rPr>
                <w:rFonts w:ascii="Century Gothic" w:hAnsi="Century Gothic"/>
                <w:noProof/>
                <w:webHidden/>
              </w:rPr>
            </w:r>
            <w:r w:rsidRPr="00BA7B52">
              <w:rPr>
                <w:rFonts w:ascii="Century Gothic" w:hAnsi="Century Gothic"/>
                <w:noProof/>
                <w:webHidden/>
              </w:rPr>
              <w:fldChar w:fldCharType="separate"/>
            </w:r>
            <w:r w:rsidRPr="00BA7B52">
              <w:rPr>
                <w:rFonts w:ascii="Century Gothic" w:hAnsi="Century Gothic"/>
                <w:noProof/>
                <w:webHidden/>
              </w:rPr>
              <w:t>6</w:t>
            </w:r>
            <w:r w:rsidRPr="00BA7B52">
              <w:rPr>
                <w:rFonts w:ascii="Century Gothic" w:hAnsi="Century Gothic"/>
                <w:noProof/>
                <w:webHidden/>
              </w:rPr>
              <w:fldChar w:fldCharType="end"/>
            </w:r>
          </w:hyperlink>
        </w:p>
        <w:p w14:paraId="43BFEDE3" w14:textId="2F77DB95" w:rsidR="00DF133C" w:rsidRPr="00BA7B52" w:rsidRDefault="00DF133C" w:rsidP="00DF133C">
          <w:pPr>
            <w:pStyle w:val="TOC1"/>
            <w:rPr>
              <w:rFonts w:ascii="Century Gothic" w:eastAsiaTheme="minorEastAsia" w:hAnsi="Century Gothic" w:cstheme="minorBidi"/>
              <w:noProof/>
              <w:sz w:val="32"/>
              <w:szCs w:val="32"/>
            </w:rPr>
          </w:pPr>
          <w:hyperlink w:anchor="_Toc145484192" w:history="1">
            <w:r w:rsidRPr="00BA7B52">
              <w:rPr>
                <w:rStyle w:val="Hyperlink"/>
                <w:rFonts w:ascii="Century Gothic" w:hAnsi="Century Gothic"/>
                <w:noProof/>
                <w:sz w:val="28"/>
                <w:szCs w:val="28"/>
              </w:rPr>
              <w:t>8.</w:t>
            </w:r>
            <w:r w:rsidRPr="00BA7B52">
              <w:rPr>
                <w:rFonts w:ascii="Century Gothic" w:eastAsiaTheme="minorEastAsia" w:hAnsi="Century Gothic" w:cstheme="minorBidi"/>
                <w:noProof/>
                <w:sz w:val="32"/>
                <w:szCs w:val="32"/>
              </w:rPr>
              <w:tab/>
            </w:r>
            <w:r w:rsidRPr="00BA7B52">
              <w:rPr>
                <w:rStyle w:val="Hyperlink"/>
                <w:rFonts w:ascii="Century Gothic" w:hAnsi="Century Gothic"/>
                <w:noProof/>
                <w:sz w:val="28"/>
                <w:szCs w:val="28"/>
              </w:rPr>
              <w:t>Legal &amp; Regulatory Framework</w:t>
            </w:r>
            <w:r w:rsidRPr="00BA7B52">
              <w:rPr>
                <w:rFonts w:ascii="Century Gothic" w:hAnsi="Century Gothic"/>
                <w:noProof/>
                <w:webHidden/>
              </w:rPr>
              <w:tab/>
            </w:r>
            <w:r w:rsidRPr="00BA7B52">
              <w:rPr>
                <w:rFonts w:ascii="Century Gothic" w:hAnsi="Century Gothic"/>
                <w:noProof/>
                <w:webHidden/>
              </w:rPr>
              <w:fldChar w:fldCharType="begin"/>
            </w:r>
            <w:r w:rsidRPr="00BA7B52">
              <w:rPr>
                <w:rFonts w:ascii="Century Gothic" w:hAnsi="Century Gothic"/>
                <w:noProof/>
                <w:webHidden/>
              </w:rPr>
              <w:instrText xml:space="preserve"> PAGEREF _Toc145484192 \h </w:instrText>
            </w:r>
            <w:r w:rsidRPr="00BA7B52">
              <w:rPr>
                <w:rFonts w:ascii="Century Gothic" w:hAnsi="Century Gothic"/>
                <w:noProof/>
                <w:webHidden/>
              </w:rPr>
            </w:r>
            <w:r w:rsidRPr="00BA7B52">
              <w:rPr>
                <w:rFonts w:ascii="Century Gothic" w:hAnsi="Century Gothic"/>
                <w:noProof/>
                <w:webHidden/>
              </w:rPr>
              <w:fldChar w:fldCharType="separate"/>
            </w:r>
            <w:r w:rsidRPr="00BA7B52">
              <w:rPr>
                <w:rFonts w:ascii="Century Gothic" w:hAnsi="Century Gothic"/>
                <w:noProof/>
                <w:webHidden/>
              </w:rPr>
              <w:t>9</w:t>
            </w:r>
            <w:r w:rsidRPr="00BA7B52">
              <w:rPr>
                <w:rFonts w:ascii="Century Gothic" w:hAnsi="Century Gothic"/>
                <w:noProof/>
                <w:webHidden/>
              </w:rPr>
              <w:fldChar w:fldCharType="end"/>
            </w:r>
          </w:hyperlink>
        </w:p>
        <w:p w14:paraId="3515FFEC" w14:textId="2F8EF1FF" w:rsidR="00DF133C" w:rsidRPr="00BA7B52" w:rsidRDefault="00DF133C" w:rsidP="00DF133C">
          <w:pPr>
            <w:pStyle w:val="TOC1"/>
            <w:rPr>
              <w:rFonts w:ascii="Century Gothic" w:eastAsiaTheme="minorEastAsia" w:hAnsi="Century Gothic" w:cstheme="minorBidi"/>
              <w:noProof/>
              <w:sz w:val="32"/>
              <w:szCs w:val="32"/>
            </w:rPr>
          </w:pPr>
          <w:hyperlink w:anchor="_Toc145484193" w:history="1">
            <w:r w:rsidRPr="00BA7B52">
              <w:rPr>
                <w:rStyle w:val="Hyperlink"/>
                <w:rFonts w:ascii="Century Gothic" w:hAnsi="Century Gothic"/>
                <w:noProof/>
                <w:sz w:val="28"/>
                <w:szCs w:val="28"/>
              </w:rPr>
              <w:t>9.</w:t>
            </w:r>
            <w:r w:rsidRPr="00BA7B52">
              <w:rPr>
                <w:rFonts w:ascii="Century Gothic" w:eastAsiaTheme="minorEastAsia" w:hAnsi="Century Gothic" w:cstheme="minorBidi"/>
                <w:noProof/>
                <w:sz w:val="32"/>
                <w:szCs w:val="32"/>
              </w:rPr>
              <w:tab/>
            </w:r>
            <w:r w:rsidRPr="00BA7B52">
              <w:rPr>
                <w:rStyle w:val="Hyperlink"/>
                <w:rFonts w:ascii="Century Gothic" w:hAnsi="Century Gothic"/>
                <w:noProof/>
                <w:sz w:val="28"/>
                <w:szCs w:val="28"/>
              </w:rPr>
              <w:t>Roles and Responsibilities of Stakeholders</w:t>
            </w:r>
            <w:r w:rsidRPr="00BA7B52">
              <w:rPr>
                <w:rFonts w:ascii="Century Gothic" w:hAnsi="Century Gothic"/>
                <w:noProof/>
                <w:webHidden/>
              </w:rPr>
              <w:tab/>
            </w:r>
            <w:r w:rsidRPr="00BA7B52">
              <w:rPr>
                <w:rFonts w:ascii="Century Gothic" w:hAnsi="Century Gothic"/>
                <w:noProof/>
                <w:webHidden/>
              </w:rPr>
              <w:fldChar w:fldCharType="begin"/>
            </w:r>
            <w:r w:rsidRPr="00BA7B52">
              <w:rPr>
                <w:rFonts w:ascii="Century Gothic" w:hAnsi="Century Gothic"/>
                <w:noProof/>
                <w:webHidden/>
              </w:rPr>
              <w:instrText xml:space="preserve"> PAGEREF _Toc145484193 \h </w:instrText>
            </w:r>
            <w:r w:rsidRPr="00BA7B52">
              <w:rPr>
                <w:rFonts w:ascii="Century Gothic" w:hAnsi="Century Gothic"/>
                <w:noProof/>
                <w:webHidden/>
              </w:rPr>
            </w:r>
            <w:r w:rsidRPr="00BA7B52">
              <w:rPr>
                <w:rFonts w:ascii="Century Gothic" w:hAnsi="Century Gothic"/>
                <w:noProof/>
                <w:webHidden/>
              </w:rPr>
              <w:fldChar w:fldCharType="separate"/>
            </w:r>
            <w:r w:rsidRPr="00BA7B52">
              <w:rPr>
                <w:rFonts w:ascii="Century Gothic" w:hAnsi="Century Gothic"/>
                <w:noProof/>
                <w:webHidden/>
              </w:rPr>
              <w:t>10</w:t>
            </w:r>
            <w:r w:rsidRPr="00BA7B52">
              <w:rPr>
                <w:rFonts w:ascii="Century Gothic" w:hAnsi="Century Gothic"/>
                <w:noProof/>
                <w:webHidden/>
              </w:rPr>
              <w:fldChar w:fldCharType="end"/>
            </w:r>
          </w:hyperlink>
        </w:p>
        <w:p w14:paraId="2807CE23" w14:textId="6926F162" w:rsidR="00DF133C" w:rsidRPr="00BA7B52" w:rsidRDefault="00DF133C" w:rsidP="00DF133C">
          <w:pPr>
            <w:pStyle w:val="TOC1"/>
            <w:rPr>
              <w:rFonts w:ascii="Century Gothic" w:eastAsiaTheme="minorEastAsia" w:hAnsi="Century Gothic" w:cstheme="minorBidi"/>
              <w:noProof/>
              <w:sz w:val="32"/>
              <w:szCs w:val="32"/>
            </w:rPr>
          </w:pPr>
          <w:hyperlink w:anchor="_Toc145484194" w:history="1">
            <w:r w:rsidRPr="00BA7B52">
              <w:rPr>
                <w:rStyle w:val="Hyperlink"/>
                <w:rFonts w:ascii="Century Gothic" w:hAnsi="Century Gothic"/>
                <w:noProof/>
                <w:sz w:val="28"/>
                <w:szCs w:val="28"/>
              </w:rPr>
              <w:t>10.</w:t>
            </w:r>
            <w:r w:rsidRPr="00BA7B52">
              <w:rPr>
                <w:rFonts w:ascii="Century Gothic" w:eastAsiaTheme="minorEastAsia" w:hAnsi="Century Gothic" w:cstheme="minorBidi"/>
                <w:noProof/>
                <w:sz w:val="32"/>
                <w:szCs w:val="32"/>
              </w:rPr>
              <w:tab/>
            </w:r>
            <w:r w:rsidRPr="00BA7B52">
              <w:rPr>
                <w:rStyle w:val="Hyperlink"/>
                <w:rFonts w:ascii="Century Gothic" w:hAnsi="Century Gothic"/>
                <w:noProof/>
                <w:sz w:val="28"/>
                <w:szCs w:val="28"/>
              </w:rPr>
              <w:t>General Guidelines and Conditions</w:t>
            </w:r>
            <w:r w:rsidRPr="00BA7B52">
              <w:rPr>
                <w:rFonts w:ascii="Century Gothic" w:hAnsi="Century Gothic"/>
                <w:noProof/>
                <w:webHidden/>
              </w:rPr>
              <w:tab/>
            </w:r>
            <w:r w:rsidRPr="00BA7B52">
              <w:rPr>
                <w:rFonts w:ascii="Century Gothic" w:hAnsi="Century Gothic"/>
                <w:noProof/>
                <w:webHidden/>
              </w:rPr>
              <w:fldChar w:fldCharType="begin"/>
            </w:r>
            <w:r w:rsidRPr="00BA7B52">
              <w:rPr>
                <w:rFonts w:ascii="Century Gothic" w:hAnsi="Century Gothic"/>
                <w:noProof/>
                <w:webHidden/>
              </w:rPr>
              <w:instrText xml:space="preserve"> PAGEREF _Toc145484194 \h </w:instrText>
            </w:r>
            <w:r w:rsidRPr="00BA7B52">
              <w:rPr>
                <w:rFonts w:ascii="Century Gothic" w:hAnsi="Century Gothic"/>
                <w:noProof/>
                <w:webHidden/>
              </w:rPr>
            </w:r>
            <w:r w:rsidRPr="00BA7B52">
              <w:rPr>
                <w:rFonts w:ascii="Century Gothic" w:hAnsi="Century Gothic"/>
                <w:noProof/>
                <w:webHidden/>
              </w:rPr>
              <w:fldChar w:fldCharType="separate"/>
            </w:r>
            <w:r w:rsidRPr="00BA7B52">
              <w:rPr>
                <w:rFonts w:ascii="Century Gothic" w:hAnsi="Century Gothic"/>
                <w:noProof/>
                <w:webHidden/>
              </w:rPr>
              <w:t>12</w:t>
            </w:r>
            <w:r w:rsidRPr="00BA7B52">
              <w:rPr>
                <w:rFonts w:ascii="Century Gothic" w:hAnsi="Century Gothic"/>
                <w:noProof/>
                <w:webHidden/>
              </w:rPr>
              <w:fldChar w:fldCharType="end"/>
            </w:r>
          </w:hyperlink>
        </w:p>
        <w:p w14:paraId="4E7BE08B" w14:textId="3CAE1930" w:rsidR="00DF133C" w:rsidRPr="00BA7B52" w:rsidRDefault="00DF133C" w:rsidP="00DF133C">
          <w:pPr>
            <w:pStyle w:val="TOC1"/>
            <w:rPr>
              <w:rFonts w:ascii="Century Gothic" w:eastAsiaTheme="minorEastAsia" w:hAnsi="Century Gothic" w:cstheme="minorBidi"/>
              <w:noProof/>
              <w:sz w:val="32"/>
              <w:szCs w:val="32"/>
            </w:rPr>
          </w:pPr>
          <w:hyperlink w:anchor="_Toc145484195" w:history="1">
            <w:r w:rsidRPr="00BA7B52">
              <w:rPr>
                <w:rStyle w:val="Hyperlink"/>
                <w:rFonts w:ascii="Century Gothic" w:hAnsi="Century Gothic"/>
                <w:noProof/>
                <w:sz w:val="28"/>
                <w:szCs w:val="28"/>
              </w:rPr>
              <w:t>11.</w:t>
            </w:r>
            <w:r w:rsidRPr="00BA7B52">
              <w:rPr>
                <w:rFonts w:ascii="Century Gothic" w:eastAsiaTheme="minorEastAsia" w:hAnsi="Century Gothic" w:cstheme="minorBidi"/>
                <w:noProof/>
                <w:sz w:val="32"/>
                <w:szCs w:val="32"/>
              </w:rPr>
              <w:tab/>
            </w:r>
            <w:r w:rsidRPr="00BA7B52">
              <w:rPr>
                <w:rStyle w:val="Hyperlink"/>
                <w:rFonts w:ascii="Century Gothic" w:hAnsi="Century Gothic"/>
                <w:noProof/>
                <w:sz w:val="28"/>
                <w:szCs w:val="28"/>
              </w:rPr>
              <w:t>Contractual Arrangements</w:t>
            </w:r>
            <w:r w:rsidRPr="00BA7B52">
              <w:rPr>
                <w:rFonts w:ascii="Century Gothic" w:hAnsi="Century Gothic"/>
                <w:noProof/>
                <w:webHidden/>
              </w:rPr>
              <w:tab/>
            </w:r>
            <w:r w:rsidRPr="00BA7B52">
              <w:rPr>
                <w:rFonts w:ascii="Century Gothic" w:hAnsi="Century Gothic"/>
                <w:noProof/>
                <w:webHidden/>
              </w:rPr>
              <w:fldChar w:fldCharType="begin"/>
            </w:r>
            <w:r w:rsidRPr="00BA7B52">
              <w:rPr>
                <w:rFonts w:ascii="Century Gothic" w:hAnsi="Century Gothic"/>
                <w:noProof/>
                <w:webHidden/>
              </w:rPr>
              <w:instrText xml:space="preserve"> PAGEREF _Toc145484195 \h </w:instrText>
            </w:r>
            <w:r w:rsidRPr="00BA7B52">
              <w:rPr>
                <w:rFonts w:ascii="Century Gothic" w:hAnsi="Century Gothic"/>
                <w:noProof/>
                <w:webHidden/>
              </w:rPr>
            </w:r>
            <w:r w:rsidRPr="00BA7B52">
              <w:rPr>
                <w:rFonts w:ascii="Century Gothic" w:hAnsi="Century Gothic"/>
                <w:noProof/>
                <w:webHidden/>
              </w:rPr>
              <w:fldChar w:fldCharType="separate"/>
            </w:r>
            <w:r w:rsidRPr="00BA7B52">
              <w:rPr>
                <w:rFonts w:ascii="Century Gothic" w:hAnsi="Century Gothic"/>
                <w:noProof/>
                <w:webHidden/>
              </w:rPr>
              <w:t>14</w:t>
            </w:r>
            <w:r w:rsidRPr="00BA7B52">
              <w:rPr>
                <w:rFonts w:ascii="Century Gothic" w:hAnsi="Century Gothic"/>
                <w:noProof/>
                <w:webHidden/>
              </w:rPr>
              <w:fldChar w:fldCharType="end"/>
            </w:r>
          </w:hyperlink>
        </w:p>
        <w:p w14:paraId="01620772" w14:textId="740E46D8" w:rsidR="00DF133C" w:rsidRPr="00BA7B52" w:rsidRDefault="00DF133C" w:rsidP="00DF133C">
          <w:pPr>
            <w:pStyle w:val="TOC1"/>
            <w:rPr>
              <w:rFonts w:ascii="Century Gothic" w:eastAsiaTheme="minorEastAsia" w:hAnsi="Century Gothic" w:cstheme="minorBidi"/>
              <w:noProof/>
              <w:sz w:val="32"/>
              <w:szCs w:val="32"/>
            </w:rPr>
          </w:pPr>
          <w:hyperlink w:anchor="_Toc145484196" w:history="1">
            <w:r w:rsidRPr="00BA7B52">
              <w:rPr>
                <w:rStyle w:val="Hyperlink"/>
                <w:rFonts w:ascii="Century Gothic" w:hAnsi="Century Gothic"/>
                <w:noProof/>
                <w:sz w:val="28"/>
                <w:szCs w:val="28"/>
              </w:rPr>
              <w:t>12.</w:t>
            </w:r>
            <w:r w:rsidRPr="00BA7B52">
              <w:rPr>
                <w:rFonts w:ascii="Century Gothic" w:eastAsiaTheme="minorEastAsia" w:hAnsi="Century Gothic" w:cstheme="minorBidi"/>
                <w:noProof/>
                <w:sz w:val="32"/>
                <w:szCs w:val="32"/>
              </w:rPr>
              <w:tab/>
            </w:r>
            <w:r w:rsidRPr="00BA7B52">
              <w:rPr>
                <w:rStyle w:val="Hyperlink"/>
                <w:rFonts w:ascii="Century Gothic" w:hAnsi="Century Gothic"/>
                <w:noProof/>
                <w:sz w:val="28"/>
                <w:szCs w:val="28"/>
              </w:rPr>
              <w:t>Metering and Data</w:t>
            </w:r>
            <w:r w:rsidRPr="00BA7B52">
              <w:rPr>
                <w:rFonts w:ascii="Century Gothic" w:hAnsi="Century Gothic"/>
                <w:noProof/>
                <w:webHidden/>
              </w:rPr>
              <w:tab/>
            </w:r>
            <w:r w:rsidRPr="00BA7B52">
              <w:rPr>
                <w:rFonts w:ascii="Century Gothic" w:hAnsi="Century Gothic"/>
                <w:noProof/>
                <w:webHidden/>
              </w:rPr>
              <w:fldChar w:fldCharType="begin"/>
            </w:r>
            <w:r w:rsidRPr="00BA7B52">
              <w:rPr>
                <w:rFonts w:ascii="Century Gothic" w:hAnsi="Century Gothic"/>
                <w:noProof/>
                <w:webHidden/>
              </w:rPr>
              <w:instrText xml:space="preserve"> PAGEREF _Toc145484196 \h </w:instrText>
            </w:r>
            <w:r w:rsidRPr="00BA7B52">
              <w:rPr>
                <w:rFonts w:ascii="Century Gothic" w:hAnsi="Century Gothic"/>
                <w:noProof/>
                <w:webHidden/>
              </w:rPr>
            </w:r>
            <w:r w:rsidRPr="00BA7B52">
              <w:rPr>
                <w:rFonts w:ascii="Century Gothic" w:hAnsi="Century Gothic"/>
                <w:noProof/>
                <w:webHidden/>
              </w:rPr>
              <w:fldChar w:fldCharType="separate"/>
            </w:r>
            <w:r w:rsidRPr="00BA7B52">
              <w:rPr>
                <w:rFonts w:ascii="Century Gothic" w:hAnsi="Century Gothic"/>
                <w:noProof/>
                <w:webHidden/>
              </w:rPr>
              <w:t>18</w:t>
            </w:r>
            <w:r w:rsidRPr="00BA7B52">
              <w:rPr>
                <w:rFonts w:ascii="Century Gothic" w:hAnsi="Century Gothic"/>
                <w:noProof/>
                <w:webHidden/>
              </w:rPr>
              <w:fldChar w:fldCharType="end"/>
            </w:r>
          </w:hyperlink>
        </w:p>
        <w:p w14:paraId="28C456D0" w14:textId="57648F27" w:rsidR="00DF133C" w:rsidRPr="00BA7B52" w:rsidRDefault="00DF133C" w:rsidP="00DF133C">
          <w:pPr>
            <w:pStyle w:val="TOC1"/>
            <w:rPr>
              <w:rFonts w:ascii="Century Gothic" w:eastAsiaTheme="minorEastAsia" w:hAnsi="Century Gothic" w:cstheme="minorBidi"/>
              <w:noProof/>
              <w:sz w:val="32"/>
              <w:szCs w:val="32"/>
            </w:rPr>
          </w:pPr>
          <w:hyperlink w:anchor="_Toc145484197" w:history="1">
            <w:r w:rsidRPr="00BA7B52">
              <w:rPr>
                <w:rStyle w:val="Hyperlink"/>
                <w:rFonts w:ascii="Century Gothic" w:hAnsi="Century Gothic"/>
                <w:noProof/>
                <w:sz w:val="28"/>
                <w:szCs w:val="28"/>
              </w:rPr>
              <w:t>13.</w:t>
            </w:r>
            <w:r w:rsidRPr="00BA7B52">
              <w:rPr>
                <w:rFonts w:ascii="Century Gothic" w:eastAsiaTheme="minorEastAsia" w:hAnsi="Century Gothic" w:cstheme="minorBidi"/>
                <w:noProof/>
                <w:sz w:val="32"/>
                <w:szCs w:val="32"/>
              </w:rPr>
              <w:tab/>
            </w:r>
            <w:r w:rsidRPr="00BA7B52">
              <w:rPr>
                <w:rStyle w:val="Hyperlink"/>
                <w:rFonts w:ascii="Century Gothic" w:hAnsi="Century Gothic"/>
                <w:noProof/>
                <w:sz w:val="28"/>
                <w:szCs w:val="28"/>
              </w:rPr>
              <w:t>Tariffs, Charges and Billing</w:t>
            </w:r>
            <w:r w:rsidRPr="00BA7B52">
              <w:rPr>
                <w:rFonts w:ascii="Century Gothic" w:hAnsi="Century Gothic"/>
                <w:noProof/>
                <w:webHidden/>
              </w:rPr>
              <w:tab/>
            </w:r>
            <w:r w:rsidRPr="00BA7B52">
              <w:rPr>
                <w:rFonts w:ascii="Century Gothic" w:hAnsi="Century Gothic"/>
                <w:noProof/>
                <w:webHidden/>
              </w:rPr>
              <w:fldChar w:fldCharType="begin"/>
            </w:r>
            <w:r w:rsidRPr="00BA7B52">
              <w:rPr>
                <w:rFonts w:ascii="Century Gothic" w:hAnsi="Century Gothic"/>
                <w:noProof/>
                <w:webHidden/>
              </w:rPr>
              <w:instrText xml:space="preserve"> PAGEREF _Toc145484197 \h </w:instrText>
            </w:r>
            <w:r w:rsidRPr="00BA7B52">
              <w:rPr>
                <w:rFonts w:ascii="Century Gothic" w:hAnsi="Century Gothic"/>
                <w:noProof/>
                <w:webHidden/>
              </w:rPr>
            </w:r>
            <w:r w:rsidRPr="00BA7B52">
              <w:rPr>
                <w:rFonts w:ascii="Century Gothic" w:hAnsi="Century Gothic"/>
                <w:noProof/>
                <w:webHidden/>
              </w:rPr>
              <w:fldChar w:fldCharType="separate"/>
            </w:r>
            <w:r w:rsidRPr="00BA7B52">
              <w:rPr>
                <w:rFonts w:ascii="Century Gothic" w:hAnsi="Century Gothic"/>
                <w:noProof/>
                <w:webHidden/>
              </w:rPr>
              <w:t>24</w:t>
            </w:r>
            <w:r w:rsidRPr="00BA7B52">
              <w:rPr>
                <w:rFonts w:ascii="Century Gothic" w:hAnsi="Century Gothic"/>
                <w:noProof/>
                <w:webHidden/>
              </w:rPr>
              <w:fldChar w:fldCharType="end"/>
            </w:r>
          </w:hyperlink>
        </w:p>
        <w:p w14:paraId="0F433E76" w14:textId="741CEBC1" w:rsidR="00DF133C" w:rsidRPr="00BA7B52" w:rsidRDefault="00DF133C" w:rsidP="00DF133C">
          <w:pPr>
            <w:pStyle w:val="TOC1"/>
            <w:rPr>
              <w:rFonts w:ascii="Century Gothic" w:eastAsiaTheme="minorEastAsia" w:hAnsi="Century Gothic" w:cstheme="minorBidi"/>
              <w:noProof/>
              <w:sz w:val="32"/>
              <w:szCs w:val="32"/>
            </w:rPr>
          </w:pPr>
          <w:hyperlink w:anchor="_Toc145484198" w:history="1">
            <w:r w:rsidRPr="00BA7B52">
              <w:rPr>
                <w:rStyle w:val="Hyperlink"/>
                <w:rFonts w:ascii="Century Gothic" w:hAnsi="Century Gothic"/>
                <w:noProof/>
                <w:sz w:val="28"/>
                <w:szCs w:val="28"/>
              </w:rPr>
              <w:t>14.</w:t>
            </w:r>
            <w:r w:rsidRPr="00BA7B52">
              <w:rPr>
                <w:rFonts w:ascii="Century Gothic" w:eastAsiaTheme="minorEastAsia" w:hAnsi="Century Gothic" w:cstheme="minorBidi"/>
                <w:noProof/>
                <w:sz w:val="32"/>
                <w:szCs w:val="32"/>
              </w:rPr>
              <w:tab/>
            </w:r>
            <w:r w:rsidRPr="00BA7B52">
              <w:rPr>
                <w:rStyle w:val="Hyperlink"/>
                <w:rFonts w:ascii="Century Gothic" w:hAnsi="Century Gothic"/>
                <w:noProof/>
                <w:sz w:val="28"/>
                <w:szCs w:val="28"/>
              </w:rPr>
              <w:t>Scenarios for Contracting, Metering &amp; Billing</w:t>
            </w:r>
            <w:r w:rsidRPr="00BA7B52">
              <w:rPr>
                <w:rFonts w:ascii="Century Gothic" w:hAnsi="Century Gothic"/>
                <w:noProof/>
                <w:webHidden/>
              </w:rPr>
              <w:tab/>
            </w:r>
            <w:r w:rsidRPr="00BA7B52">
              <w:rPr>
                <w:rFonts w:ascii="Century Gothic" w:hAnsi="Century Gothic"/>
                <w:noProof/>
                <w:webHidden/>
              </w:rPr>
              <w:fldChar w:fldCharType="begin"/>
            </w:r>
            <w:r w:rsidRPr="00BA7B52">
              <w:rPr>
                <w:rFonts w:ascii="Century Gothic" w:hAnsi="Century Gothic"/>
                <w:noProof/>
                <w:webHidden/>
              </w:rPr>
              <w:instrText xml:space="preserve"> PAGEREF _Toc145484198 \h </w:instrText>
            </w:r>
            <w:r w:rsidRPr="00BA7B52">
              <w:rPr>
                <w:rFonts w:ascii="Century Gothic" w:hAnsi="Century Gothic"/>
                <w:noProof/>
                <w:webHidden/>
              </w:rPr>
            </w:r>
            <w:r w:rsidRPr="00BA7B52">
              <w:rPr>
                <w:rFonts w:ascii="Century Gothic" w:hAnsi="Century Gothic"/>
                <w:noProof/>
                <w:webHidden/>
              </w:rPr>
              <w:fldChar w:fldCharType="separate"/>
            </w:r>
            <w:r w:rsidRPr="00BA7B52">
              <w:rPr>
                <w:rFonts w:ascii="Century Gothic" w:hAnsi="Century Gothic"/>
                <w:noProof/>
                <w:webHidden/>
              </w:rPr>
              <w:t>29</w:t>
            </w:r>
            <w:r w:rsidRPr="00BA7B52">
              <w:rPr>
                <w:rFonts w:ascii="Century Gothic" w:hAnsi="Century Gothic"/>
                <w:noProof/>
                <w:webHidden/>
              </w:rPr>
              <w:fldChar w:fldCharType="end"/>
            </w:r>
          </w:hyperlink>
        </w:p>
        <w:p w14:paraId="21BFEC21" w14:textId="02684CC4" w:rsidR="00DF133C" w:rsidRPr="00BA7B52" w:rsidRDefault="00DF133C" w:rsidP="00DF133C">
          <w:pPr>
            <w:pStyle w:val="TOC1"/>
            <w:rPr>
              <w:rFonts w:ascii="Century Gothic" w:eastAsiaTheme="minorEastAsia" w:hAnsi="Century Gothic" w:cstheme="minorBidi"/>
              <w:noProof/>
              <w:sz w:val="32"/>
              <w:szCs w:val="32"/>
            </w:rPr>
          </w:pPr>
          <w:hyperlink w:anchor="_Toc145484199" w:history="1">
            <w:r w:rsidRPr="00BA7B52">
              <w:rPr>
                <w:rStyle w:val="Hyperlink"/>
                <w:rFonts w:ascii="Century Gothic" w:hAnsi="Century Gothic"/>
                <w:noProof/>
                <w:sz w:val="28"/>
                <w:szCs w:val="28"/>
              </w:rPr>
              <w:t>15.</w:t>
            </w:r>
            <w:r w:rsidRPr="00BA7B52">
              <w:rPr>
                <w:rFonts w:ascii="Century Gothic" w:eastAsiaTheme="minorEastAsia" w:hAnsi="Century Gothic" w:cstheme="minorBidi"/>
                <w:noProof/>
                <w:sz w:val="32"/>
                <w:szCs w:val="32"/>
              </w:rPr>
              <w:tab/>
            </w:r>
            <w:r w:rsidRPr="00BA7B52">
              <w:rPr>
                <w:rStyle w:val="Hyperlink"/>
                <w:rFonts w:ascii="Century Gothic" w:hAnsi="Century Gothic"/>
                <w:noProof/>
                <w:sz w:val="28"/>
                <w:szCs w:val="28"/>
              </w:rPr>
              <w:t>Qualifying Criteria</w:t>
            </w:r>
            <w:r w:rsidRPr="00BA7B52">
              <w:rPr>
                <w:rFonts w:ascii="Century Gothic" w:hAnsi="Century Gothic"/>
                <w:noProof/>
                <w:webHidden/>
              </w:rPr>
              <w:tab/>
            </w:r>
            <w:r w:rsidRPr="00BA7B52">
              <w:rPr>
                <w:rFonts w:ascii="Century Gothic" w:hAnsi="Century Gothic"/>
                <w:noProof/>
                <w:webHidden/>
              </w:rPr>
              <w:fldChar w:fldCharType="begin"/>
            </w:r>
            <w:r w:rsidRPr="00BA7B52">
              <w:rPr>
                <w:rFonts w:ascii="Century Gothic" w:hAnsi="Century Gothic"/>
                <w:noProof/>
                <w:webHidden/>
              </w:rPr>
              <w:instrText xml:space="preserve"> PAGEREF _Toc145484199 \h </w:instrText>
            </w:r>
            <w:r w:rsidRPr="00BA7B52">
              <w:rPr>
                <w:rFonts w:ascii="Century Gothic" w:hAnsi="Century Gothic"/>
                <w:noProof/>
                <w:webHidden/>
              </w:rPr>
            </w:r>
            <w:r w:rsidRPr="00BA7B52">
              <w:rPr>
                <w:rFonts w:ascii="Century Gothic" w:hAnsi="Century Gothic"/>
                <w:noProof/>
                <w:webHidden/>
              </w:rPr>
              <w:fldChar w:fldCharType="separate"/>
            </w:r>
            <w:r w:rsidRPr="00BA7B52">
              <w:rPr>
                <w:rFonts w:ascii="Century Gothic" w:hAnsi="Century Gothic"/>
                <w:noProof/>
                <w:webHidden/>
              </w:rPr>
              <w:t>35</w:t>
            </w:r>
            <w:r w:rsidRPr="00BA7B52">
              <w:rPr>
                <w:rFonts w:ascii="Century Gothic" w:hAnsi="Century Gothic"/>
                <w:noProof/>
                <w:webHidden/>
              </w:rPr>
              <w:fldChar w:fldCharType="end"/>
            </w:r>
          </w:hyperlink>
        </w:p>
        <w:p w14:paraId="5AD2731C" w14:textId="19807837" w:rsidR="00DF133C" w:rsidRPr="00BA7B52" w:rsidRDefault="00DF133C" w:rsidP="00DF133C">
          <w:pPr>
            <w:pStyle w:val="TOC1"/>
            <w:rPr>
              <w:rFonts w:ascii="Century Gothic" w:eastAsiaTheme="minorEastAsia" w:hAnsi="Century Gothic" w:cstheme="minorBidi"/>
              <w:noProof/>
              <w:sz w:val="32"/>
              <w:szCs w:val="32"/>
            </w:rPr>
          </w:pPr>
          <w:hyperlink w:anchor="_Toc145484200" w:history="1">
            <w:r w:rsidRPr="00BA7B52">
              <w:rPr>
                <w:rStyle w:val="Hyperlink"/>
                <w:rFonts w:ascii="Century Gothic" w:hAnsi="Century Gothic"/>
                <w:noProof/>
                <w:sz w:val="28"/>
                <w:szCs w:val="28"/>
              </w:rPr>
              <w:t>16.</w:t>
            </w:r>
            <w:r w:rsidRPr="00BA7B52">
              <w:rPr>
                <w:rFonts w:ascii="Century Gothic" w:eastAsiaTheme="minorEastAsia" w:hAnsi="Century Gothic" w:cstheme="minorBidi"/>
                <w:noProof/>
                <w:sz w:val="32"/>
                <w:szCs w:val="32"/>
              </w:rPr>
              <w:tab/>
            </w:r>
            <w:r w:rsidRPr="00BA7B52">
              <w:rPr>
                <w:rStyle w:val="Hyperlink"/>
                <w:rFonts w:ascii="Century Gothic" w:hAnsi="Century Gothic"/>
                <w:noProof/>
                <w:sz w:val="28"/>
                <w:szCs w:val="28"/>
              </w:rPr>
              <w:t>Application Process</w:t>
            </w:r>
            <w:r w:rsidRPr="00BA7B52">
              <w:rPr>
                <w:rFonts w:ascii="Century Gothic" w:hAnsi="Century Gothic"/>
                <w:noProof/>
                <w:webHidden/>
              </w:rPr>
              <w:tab/>
            </w:r>
            <w:r w:rsidRPr="00BA7B52">
              <w:rPr>
                <w:rFonts w:ascii="Century Gothic" w:hAnsi="Century Gothic"/>
                <w:noProof/>
                <w:webHidden/>
              </w:rPr>
              <w:fldChar w:fldCharType="begin"/>
            </w:r>
            <w:r w:rsidRPr="00BA7B52">
              <w:rPr>
                <w:rFonts w:ascii="Century Gothic" w:hAnsi="Century Gothic"/>
                <w:noProof/>
                <w:webHidden/>
              </w:rPr>
              <w:instrText xml:space="preserve"> PAGEREF _Toc145484200 \h </w:instrText>
            </w:r>
            <w:r w:rsidRPr="00BA7B52">
              <w:rPr>
                <w:rFonts w:ascii="Century Gothic" w:hAnsi="Century Gothic"/>
                <w:noProof/>
                <w:webHidden/>
              </w:rPr>
            </w:r>
            <w:r w:rsidRPr="00BA7B52">
              <w:rPr>
                <w:rFonts w:ascii="Century Gothic" w:hAnsi="Century Gothic"/>
                <w:noProof/>
                <w:webHidden/>
              </w:rPr>
              <w:fldChar w:fldCharType="separate"/>
            </w:r>
            <w:r w:rsidRPr="00BA7B52">
              <w:rPr>
                <w:rFonts w:ascii="Century Gothic" w:hAnsi="Century Gothic"/>
                <w:noProof/>
                <w:webHidden/>
              </w:rPr>
              <w:t>39</w:t>
            </w:r>
            <w:r w:rsidRPr="00BA7B52">
              <w:rPr>
                <w:rFonts w:ascii="Century Gothic" w:hAnsi="Century Gothic"/>
                <w:noProof/>
                <w:webHidden/>
              </w:rPr>
              <w:fldChar w:fldCharType="end"/>
            </w:r>
          </w:hyperlink>
        </w:p>
        <w:p w14:paraId="5696D572" w14:textId="006E4A2D" w:rsidR="00DF133C" w:rsidRPr="00BA7B52" w:rsidRDefault="00DF133C" w:rsidP="00DF133C">
          <w:pPr>
            <w:pStyle w:val="TOC1"/>
            <w:rPr>
              <w:rFonts w:ascii="Century Gothic" w:eastAsiaTheme="minorEastAsia" w:hAnsi="Century Gothic" w:cstheme="minorBidi"/>
              <w:noProof/>
              <w:sz w:val="32"/>
              <w:szCs w:val="32"/>
            </w:rPr>
          </w:pPr>
          <w:hyperlink w:anchor="_Toc145484201" w:history="1">
            <w:r w:rsidRPr="00BA7B52">
              <w:rPr>
                <w:rStyle w:val="Hyperlink"/>
                <w:rFonts w:ascii="Century Gothic" w:hAnsi="Century Gothic"/>
                <w:noProof/>
                <w:sz w:val="28"/>
                <w:szCs w:val="28"/>
              </w:rPr>
              <w:t>17.</w:t>
            </w:r>
            <w:r w:rsidRPr="00BA7B52">
              <w:rPr>
                <w:rFonts w:ascii="Century Gothic" w:eastAsiaTheme="minorEastAsia" w:hAnsi="Century Gothic" w:cstheme="minorBidi"/>
                <w:noProof/>
                <w:sz w:val="32"/>
                <w:szCs w:val="32"/>
              </w:rPr>
              <w:tab/>
            </w:r>
            <w:r w:rsidRPr="00BA7B52">
              <w:rPr>
                <w:rStyle w:val="Hyperlink"/>
                <w:rFonts w:ascii="Century Gothic" w:hAnsi="Century Gothic"/>
                <w:noProof/>
                <w:sz w:val="28"/>
                <w:szCs w:val="28"/>
              </w:rPr>
              <w:t>Generator Connection Process</w:t>
            </w:r>
            <w:r w:rsidRPr="00BA7B52">
              <w:rPr>
                <w:rFonts w:ascii="Century Gothic" w:hAnsi="Century Gothic"/>
                <w:noProof/>
                <w:webHidden/>
              </w:rPr>
              <w:tab/>
            </w:r>
            <w:r w:rsidRPr="00BA7B52">
              <w:rPr>
                <w:rFonts w:ascii="Century Gothic" w:hAnsi="Century Gothic"/>
                <w:noProof/>
                <w:webHidden/>
              </w:rPr>
              <w:fldChar w:fldCharType="begin"/>
            </w:r>
            <w:r w:rsidRPr="00BA7B52">
              <w:rPr>
                <w:rFonts w:ascii="Century Gothic" w:hAnsi="Century Gothic"/>
                <w:noProof/>
                <w:webHidden/>
              </w:rPr>
              <w:instrText xml:space="preserve"> PAGEREF _Toc145484201 \h </w:instrText>
            </w:r>
            <w:r w:rsidRPr="00BA7B52">
              <w:rPr>
                <w:rFonts w:ascii="Century Gothic" w:hAnsi="Century Gothic"/>
                <w:noProof/>
                <w:webHidden/>
              </w:rPr>
            </w:r>
            <w:r w:rsidRPr="00BA7B52">
              <w:rPr>
                <w:rFonts w:ascii="Century Gothic" w:hAnsi="Century Gothic"/>
                <w:noProof/>
                <w:webHidden/>
              </w:rPr>
              <w:fldChar w:fldCharType="separate"/>
            </w:r>
            <w:r w:rsidRPr="00BA7B52">
              <w:rPr>
                <w:rFonts w:ascii="Century Gothic" w:hAnsi="Century Gothic"/>
                <w:noProof/>
                <w:webHidden/>
              </w:rPr>
              <w:t>42</w:t>
            </w:r>
            <w:r w:rsidRPr="00BA7B52">
              <w:rPr>
                <w:rFonts w:ascii="Century Gothic" w:hAnsi="Century Gothic"/>
                <w:noProof/>
                <w:webHidden/>
              </w:rPr>
              <w:fldChar w:fldCharType="end"/>
            </w:r>
          </w:hyperlink>
        </w:p>
        <w:p w14:paraId="73875785" w14:textId="1E8913BA" w:rsidR="00DF133C" w:rsidRPr="00BA7B52" w:rsidRDefault="00DF133C" w:rsidP="00DF133C">
          <w:pPr>
            <w:pStyle w:val="TOC1"/>
            <w:rPr>
              <w:rFonts w:ascii="Century Gothic" w:eastAsiaTheme="minorEastAsia" w:hAnsi="Century Gothic" w:cstheme="minorBidi"/>
              <w:noProof/>
              <w:sz w:val="32"/>
              <w:szCs w:val="32"/>
            </w:rPr>
          </w:pPr>
          <w:hyperlink w:anchor="_Toc145484202" w:history="1">
            <w:r w:rsidRPr="00BA7B52">
              <w:rPr>
                <w:rStyle w:val="Hyperlink"/>
                <w:rFonts w:ascii="Century Gothic" w:hAnsi="Century Gothic"/>
                <w:noProof/>
                <w:sz w:val="28"/>
                <w:szCs w:val="28"/>
              </w:rPr>
              <w:t>18.</w:t>
            </w:r>
            <w:r w:rsidRPr="00BA7B52">
              <w:rPr>
                <w:rFonts w:ascii="Century Gothic" w:eastAsiaTheme="minorEastAsia" w:hAnsi="Century Gothic" w:cstheme="minorBidi"/>
                <w:noProof/>
                <w:sz w:val="32"/>
                <w:szCs w:val="32"/>
              </w:rPr>
              <w:tab/>
            </w:r>
            <w:r w:rsidRPr="00BA7B52">
              <w:rPr>
                <w:rStyle w:val="Hyperlink"/>
                <w:rFonts w:ascii="Century Gothic" w:hAnsi="Century Gothic"/>
                <w:noProof/>
                <w:sz w:val="28"/>
                <w:szCs w:val="28"/>
              </w:rPr>
              <w:t>Payments Due</w:t>
            </w:r>
            <w:r w:rsidRPr="00BA7B52">
              <w:rPr>
                <w:rFonts w:ascii="Century Gothic" w:hAnsi="Century Gothic"/>
                <w:noProof/>
                <w:webHidden/>
              </w:rPr>
              <w:tab/>
            </w:r>
            <w:r w:rsidRPr="00BA7B52">
              <w:rPr>
                <w:rFonts w:ascii="Century Gothic" w:hAnsi="Century Gothic"/>
                <w:noProof/>
                <w:webHidden/>
              </w:rPr>
              <w:fldChar w:fldCharType="begin"/>
            </w:r>
            <w:r w:rsidRPr="00BA7B52">
              <w:rPr>
                <w:rFonts w:ascii="Century Gothic" w:hAnsi="Century Gothic"/>
                <w:noProof/>
                <w:webHidden/>
              </w:rPr>
              <w:instrText xml:space="preserve"> PAGEREF _Toc145484202 \h </w:instrText>
            </w:r>
            <w:r w:rsidRPr="00BA7B52">
              <w:rPr>
                <w:rFonts w:ascii="Century Gothic" w:hAnsi="Century Gothic"/>
                <w:noProof/>
                <w:webHidden/>
              </w:rPr>
            </w:r>
            <w:r w:rsidRPr="00BA7B52">
              <w:rPr>
                <w:rFonts w:ascii="Century Gothic" w:hAnsi="Century Gothic"/>
                <w:noProof/>
                <w:webHidden/>
              </w:rPr>
              <w:fldChar w:fldCharType="separate"/>
            </w:r>
            <w:r w:rsidRPr="00BA7B52">
              <w:rPr>
                <w:rFonts w:ascii="Century Gothic" w:hAnsi="Century Gothic"/>
                <w:noProof/>
                <w:webHidden/>
              </w:rPr>
              <w:t>42</w:t>
            </w:r>
            <w:r w:rsidRPr="00BA7B52">
              <w:rPr>
                <w:rFonts w:ascii="Century Gothic" w:hAnsi="Century Gothic"/>
                <w:noProof/>
                <w:webHidden/>
              </w:rPr>
              <w:fldChar w:fldCharType="end"/>
            </w:r>
          </w:hyperlink>
        </w:p>
        <w:p w14:paraId="2A3572BE" w14:textId="378050D7" w:rsidR="00DF133C" w:rsidRPr="00BA7B52" w:rsidRDefault="00DF133C" w:rsidP="00DF133C">
          <w:pPr>
            <w:pStyle w:val="TOC1"/>
            <w:rPr>
              <w:rFonts w:ascii="Century Gothic" w:eastAsiaTheme="minorEastAsia" w:hAnsi="Century Gothic" w:cstheme="minorBidi"/>
              <w:noProof/>
              <w:sz w:val="32"/>
              <w:szCs w:val="32"/>
            </w:rPr>
          </w:pPr>
          <w:hyperlink w:anchor="_Toc145484203" w:history="1">
            <w:r w:rsidRPr="00BA7B52">
              <w:rPr>
                <w:rStyle w:val="Hyperlink"/>
                <w:rFonts w:ascii="Century Gothic" w:hAnsi="Century Gothic"/>
                <w:noProof/>
                <w:sz w:val="28"/>
                <w:szCs w:val="28"/>
              </w:rPr>
              <w:t>19.</w:t>
            </w:r>
            <w:r w:rsidRPr="00BA7B52">
              <w:rPr>
                <w:rFonts w:ascii="Century Gothic" w:eastAsiaTheme="minorEastAsia" w:hAnsi="Century Gothic" w:cstheme="minorBidi"/>
                <w:noProof/>
                <w:sz w:val="32"/>
                <w:szCs w:val="32"/>
              </w:rPr>
              <w:tab/>
            </w:r>
            <w:r w:rsidRPr="00BA7B52">
              <w:rPr>
                <w:rStyle w:val="Hyperlink"/>
                <w:rFonts w:ascii="Century Gothic" w:hAnsi="Century Gothic"/>
                <w:noProof/>
                <w:sz w:val="28"/>
                <w:szCs w:val="28"/>
              </w:rPr>
              <w:t>Energy Supply and Demand Balancing</w:t>
            </w:r>
            <w:r w:rsidRPr="00BA7B52">
              <w:rPr>
                <w:rFonts w:ascii="Century Gothic" w:hAnsi="Century Gothic"/>
                <w:noProof/>
                <w:webHidden/>
              </w:rPr>
              <w:tab/>
            </w:r>
            <w:r w:rsidRPr="00BA7B52">
              <w:rPr>
                <w:rFonts w:ascii="Century Gothic" w:hAnsi="Century Gothic"/>
                <w:noProof/>
                <w:webHidden/>
              </w:rPr>
              <w:fldChar w:fldCharType="begin"/>
            </w:r>
            <w:r w:rsidRPr="00BA7B52">
              <w:rPr>
                <w:rFonts w:ascii="Century Gothic" w:hAnsi="Century Gothic"/>
                <w:noProof/>
                <w:webHidden/>
              </w:rPr>
              <w:instrText xml:space="preserve"> PAGEREF _Toc145484203 \h </w:instrText>
            </w:r>
            <w:r w:rsidRPr="00BA7B52">
              <w:rPr>
                <w:rFonts w:ascii="Century Gothic" w:hAnsi="Century Gothic"/>
                <w:noProof/>
                <w:webHidden/>
              </w:rPr>
            </w:r>
            <w:r w:rsidRPr="00BA7B52">
              <w:rPr>
                <w:rFonts w:ascii="Century Gothic" w:hAnsi="Century Gothic"/>
                <w:noProof/>
                <w:webHidden/>
              </w:rPr>
              <w:fldChar w:fldCharType="separate"/>
            </w:r>
            <w:r w:rsidRPr="00BA7B52">
              <w:rPr>
                <w:rFonts w:ascii="Century Gothic" w:hAnsi="Century Gothic"/>
                <w:noProof/>
                <w:webHidden/>
              </w:rPr>
              <w:t>44</w:t>
            </w:r>
            <w:r w:rsidRPr="00BA7B52">
              <w:rPr>
                <w:rFonts w:ascii="Century Gothic" w:hAnsi="Century Gothic"/>
                <w:noProof/>
                <w:webHidden/>
              </w:rPr>
              <w:fldChar w:fldCharType="end"/>
            </w:r>
          </w:hyperlink>
        </w:p>
        <w:p w14:paraId="5F7FAC60" w14:textId="4F5D96E1" w:rsidR="00DF133C" w:rsidRPr="00BA7B52" w:rsidRDefault="00DF133C" w:rsidP="00DF133C">
          <w:pPr>
            <w:pStyle w:val="TOC1"/>
            <w:rPr>
              <w:rFonts w:ascii="Century Gothic" w:eastAsiaTheme="minorEastAsia" w:hAnsi="Century Gothic" w:cstheme="minorBidi"/>
              <w:noProof/>
              <w:sz w:val="32"/>
              <w:szCs w:val="32"/>
            </w:rPr>
          </w:pPr>
          <w:hyperlink w:anchor="_Toc145484204" w:history="1">
            <w:r w:rsidRPr="00BA7B52">
              <w:rPr>
                <w:rStyle w:val="Hyperlink"/>
                <w:rFonts w:ascii="Century Gothic" w:hAnsi="Century Gothic"/>
                <w:noProof/>
                <w:sz w:val="28"/>
                <w:szCs w:val="28"/>
              </w:rPr>
              <w:t>20.</w:t>
            </w:r>
            <w:r w:rsidRPr="00BA7B52">
              <w:rPr>
                <w:rFonts w:ascii="Century Gothic" w:eastAsiaTheme="minorEastAsia" w:hAnsi="Century Gothic" w:cstheme="minorBidi"/>
                <w:noProof/>
                <w:sz w:val="32"/>
                <w:szCs w:val="32"/>
              </w:rPr>
              <w:tab/>
            </w:r>
            <w:r w:rsidRPr="00BA7B52">
              <w:rPr>
                <w:rStyle w:val="Hyperlink"/>
                <w:rFonts w:ascii="Century Gothic" w:hAnsi="Century Gothic"/>
                <w:noProof/>
                <w:sz w:val="28"/>
                <w:szCs w:val="28"/>
              </w:rPr>
              <w:t>Dispute Resolution Process</w:t>
            </w:r>
            <w:r w:rsidRPr="00BA7B52">
              <w:rPr>
                <w:rFonts w:ascii="Century Gothic" w:hAnsi="Century Gothic"/>
                <w:noProof/>
                <w:webHidden/>
              </w:rPr>
              <w:tab/>
            </w:r>
            <w:r w:rsidRPr="00BA7B52">
              <w:rPr>
                <w:rFonts w:ascii="Century Gothic" w:hAnsi="Century Gothic"/>
                <w:noProof/>
                <w:webHidden/>
              </w:rPr>
              <w:fldChar w:fldCharType="begin"/>
            </w:r>
            <w:r w:rsidRPr="00BA7B52">
              <w:rPr>
                <w:rFonts w:ascii="Century Gothic" w:hAnsi="Century Gothic"/>
                <w:noProof/>
                <w:webHidden/>
              </w:rPr>
              <w:instrText xml:space="preserve"> PAGEREF _Toc145484204 \h </w:instrText>
            </w:r>
            <w:r w:rsidRPr="00BA7B52">
              <w:rPr>
                <w:rFonts w:ascii="Century Gothic" w:hAnsi="Century Gothic"/>
                <w:noProof/>
                <w:webHidden/>
              </w:rPr>
            </w:r>
            <w:r w:rsidRPr="00BA7B52">
              <w:rPr>
                <w:rFonts w:ascii="Century Gothic" w:hAnsi="Century Gothic"/>
                <w:noProof/>
                <w:webHidden/>
              </w:rPr>
              <w:fldChar w:fldCharType="separate"/>
            </w:r>
            <w:r w:rsidRPr="00BA7B52">
              <w:rPr>
                <w:rFonts w:ascii="Century Gothic" w:hAnsi="Century Gothic"/>
                <w:noProof/>
                <w:webHidden/>
              </w:rPr>
              <w:t>45</w:t>
            </w:r>
            <w:r w:rsidRPr="00BA7B52">
              <w:rPr>
                <w:rFonts w:ascii="Century Gothic" w:hAnsi="Century Gothic"/>
                <w:noProof/>
                <w:webHidden/>
              </w:rPr>
              <w:fldChar w:fldCharType="end"/>
            </w:r>
          </w:hyperlink>
        </w:p>
        <w:p w14:paraId="4004D869" w14:textId="7614FC76" w:rsidR="00DF133C" w:rsidRPr="00BA7B52" w:rsidRDefault="00DF133C" w:rsidP="00DF133C">
          <w:pPr>
            <w:pStyle w:val="TOC1"/>
            <w:rPr>
              <w:rFonts w:ascii="Century Gothic" w:eastAsiaTheme="minorEastAsia" w:hAnsi="Century Gothic" w:cstheme="minorBidi"/>
              <w:noProof/>
              <w:sz w:val="32"/>
              <w:szCs w:val="32"/>
            </w:rPr>
          </w:pPr>
          <w:hyperlink w:anchor="_Toc145484205" w:history="1">
            <w:r w:rsidRPr="00BA7B52">
              <w:rPr>
                <w:rStyle w:val="Hyperlink"/>
                <w:rFonts w:ascii="Century Gothic" w:hAnsi="Century Gothic"/>
                <w:noProof/>
                <w:sz w:val="28"/>
                <w:szCs w:val="28"/>
              </w:rPr>
              <w:t>21.</w:t>
            </w:r>
            <w:r w:rsidRPr="00BA7B52">
              <w:rPr>
                <w:rFonts w:ascii="Century Gothic" w:eastAsiaTheme="minorEastAsia" w:hAnsi="Century Gothic" w:cstheme="minorBidi"/>
                <w:noProof/>
                <w:sz w:val="32"/>
                <w:szCs w:val="32"/>
              </w:rPr>
              <w:tab/>
            </w:r>
            <w:r w:rsidRPr="00BA7B52">
              <w:rPr>
                <w:rStyle w:val="Hyperlink"/>
                <w:rFonts w:ascii="Century Gothic" w:hAnsi="Century Gothic"/>
                <w:noProof/>
                <w:sz w:val="28"/>
                <w:szCs w:val="28"/>
              </w:rPr>
              <w:t>Tools, References and Further Information</w:t>
            </w:r>
            <w:r w:rsidRPr="00BA7B52">
              <w:rPr>
                <w:rFonts w:ascii="Century Gothic" w:hAnsi="Century Gothic"/>
                <w:noProof/>
                <w:webHidden/>
              </w:rPr>
              <w:tab/>
            </w:r>
            <w:r w:rsidRPr="00BA7B52">
              <w:rPr>
                <w:rFonts w:ascii="Century Gothic" w:hAnsi="Century Gothic"/>
                <w:noProof/>
                <w:webHidden/>
              </w:rPr>
              <w:fldChar w:fldCharType="begin"/>
            </w:r>
            <w:r w:rsidRPr="00BA7B52">
              <w:rPr>
                <w:rFonts w:ascii="Century Gothic" w:hAnsi="Century Gothic"/>
                <w:noProof/>
                <w:webHidden/>
              </w:rPr>
              <w:instrText xml:space="preserve"> PAGEREF _Toc145484205 \h </w:instrText>
            </w:r>
            <w:r w:rsidRPr="00BA7B52">
              <w:rPr>
                <w:rFonts w:ascii="Century Gothic" w:hAnsi="Century Gothic"/>
                <w:noProof/>
                <w:webHidden/>
              </w:rPr>
            </w:r>
            <w:r w:rsidRPr="00BA7B52">
              <w:rPr>
                <w:rFonts w:ascii="Century Gothic" w:hAnsi="Century Gothic"/>
                <w:noProof/>
                <w:webHidden/>
              </w:rPr>
              <w:fldChar w:fldCharType="separate"/>
            </w:r>
            <w:r w:rsidRPr="00BA7B52">
              <w:rPr>
                <w:rFonts w:ascii="Century Gothic" w:hAnsi="Century Gothic"/>
                <w:noProof/>
                <w:webHidden/>
              </w:rPr>
              <w:t>46</w:t>
            </w:r>
            <w:r w:rsidRPr="00BA7B52">
              <w:rPr>
                <w:rFonts w:ascii="Century Gothic" w:hAnsi="Century Gothic"/>
                <w:noProof/>
                <w:webHidden/>
              </w:rPr>
              <w:fldChar w:fldCharType="end"/>
            </w:r>
          </w:hyperlink>
        </w:p>
        <w:p w14:paraId="14EEFF73" w14:textId="2E656EDA" w:rsidR="00DF133C" w:rsidRPr="00BA7B52" w:rsidRDefault="00DF133C" w:rsidP="00DF133C">
          <w:pPr>
            <w:pStyle w:val="TOC1"/>
            <w:rPr>
              <w:rFonts w:ascii="Century Gothic" w:eastAsiaTheme="minorEastAsia" w:hAnsi="Century Gothic" w:cstheme="minorBidi"/>
              <w:noProof/>
              <w:sz w:val="32"/>
              <w:szCs w:val="32"/>
            </w:rPr>
          </w:pPr>
          <w:hyperlink w:anchor="_Toc145484206" w:history="1">
            <w:r w:rsidRPr="00BA7B52">
              <w:rPr>
                <w:rStyle w:val="Hyperlink"/>
                <w:rFonts w:ascii="Century Gothic" w:hAnsi="Century Gothic"/>
                <w:noProof/>
                <w:sz w:val="28"/>
                <w:szCs w:val="28"/>
              </w:rPr>
              <w:t>22.</w:t>
            </w:r>
            <w:r w:rsidRPr="00BA7B52">
              <w:rPr>
                <w:rFonts w:ascii="Century Gothic" w:eastAsiaTheme="minorEastAsia" w:hAnsi="Century Gothic" w:cstheme="minorBidi"/>
                <w:noProof/>
                <w:sz w:val="32"/>
                <w:szCs w:val="32"/>
              </w:rPr>
              <w:tab/>
            </w:r>
            <w:r w:rsidRPr="00BA7B52">
              <w:rPr>
                <w:rStyle w:val="Hyperlink"/>
                <w:rFonts w:ascii="Century Gothic" w:hAnsi="Century Gothic"/>
                <w:noProof/>
                <w:sz w:val="28"/>
                <w:szCs w:val="28"/>
              </w:rPr>
              <w:t>Proposed IT Systems to Implement</w:t>
            </w:r>
            <w:r w:rsidRPr="00BA7B52">
              <w:rPr>
                <w:rFonts w:ascii="Century Gothic" w:hAnsi="Century Gothic"/>
                <w:noProof/>
                <w:webHidden/>
              </w:rPr>
              <w:tab/>
            </w:r>
            <w:r w:rsidRPr="00BA7B52">
              <w:rPr>
                <w:rFonts w:ascii="Century Gothic" w:hAnsi="Century Gothic"/>
                <w:noProof/>
                <w:webHidden/>
              </w:rPr>
              <w:fldChar w:fldCharType="begin"/>
            </w:r>
            <w:r w:rsidRPr="00BA7B52">
              <w:rPr>
                <w:rFonts w:ascii="Century Gothic" w:hAnsi="Century Gothic"/>
                <w:noProof/>
                <w:webHidden/>
              </w:rPr>
              <w:instrText xml:space="preserve"> PAGEREF _Toc145484206 \h </w:instrText>
            </w:r>
            <w:r w:rsidRPr="00BA7B52">
              <w:rPr>
                <w:rFonts w:ascii="Century Gothic" w:hAnsi="Century Gothic"/>
                <w:noProof/>
                <w:webHidden/>
              </w:rPr>
            </w:r>
            <w:r w:rsidRPr="00BA7B52">
              <w:rPr>
                <w:rFonts w:ascii="Century Gothic" w:hAnsi="Century Gothic"/>
                <w:noProof/>
                <w:webHidden/>
              </w:rPr>
              <w:fldChar w:fldCharType="separate"/>
            </w:r>
            <w:r w:rsidRPr="00BA7B52">
              <w:rPr>
                <w:rFonts w:ascii="Century Gothic" w:hAnsi="Century Gothic"/>
                <w:noProof/>
                <w:webHidden/>
              </w:rPr>
              <w:t>47</w:t>
            </w:r>
            <w:r w:rsidRPr="00BA7B52">
              <w:rPr>
                <w:rFonts w:ascii="Century Gothic" w:hAnsi="Century Gothic"/>
                <w:noProof/>
                <w:webHidden/>
              </w:rPr>
              <w:fldChar w:fldCharType="end"/>
            </w:r>
          </w:hyperlink>
        </w:p>
        <w:p w14:paraId="2FCAA74F" w14:textId="24C98772" w:rsidR="00DF133C" w:rsidRPr="00BA7B52" w:rsidRDefault="00DF133C" w:rsidP="00DF133C">
          <w:pPr>
            <w:pStyle w:val="TOC1"/>
            <w:rPr>
              <w:rFonts w:ascii="Century Gothic" w:eastAsiaTheme="minorEastAsia" w:hAnsi="Century Gothic" w:cstheme="minorBidi"/>
              <w:noProof/>
              <w:sz w:val="32"/>
              <w:szCs w:val="32"/>
            </w:rPr>
          </w:pPr>
          <w:hyperlink w:anchor="_Toc145484207" w:history="1">
            <w:r w:rsidRPr="00BA7B52">
              <w:rPr>
                <w:rStyle w:val="Hyperlink"/>
                <w:rFonts w:ascii="Century Gothic" w:hAnsi="Century Gothic"/>
                <w:noProof/>
                <w:sz w:val="28"/>
                <w:szCs w:val="28"/>
              </w:rPr>
              <w:t>23.</w:t>
            </w:r>
            <w:r w:rsidRPr="00BA7B52">
              <w:rPr>
                <w:rFonts w:ascii="Century Gothic" w:eastAsiaTheme="minorEastAsia" w:hAnsi="Century Gothic" w:cstheme="minorBidi"/>
                <w:noProof/>
                <w:sz w:val="32"/>
                <w:szCs w:val="32"/>
              </w:rPr>
              <w:tab/>
            </w:r>
            <w:r w:rsidRPr="00BA7B52">
              <w:rPr>
                <w:rStyle w:val="Hyperlink"/>
                <w:rFonts w:ascii="Century Gothic" w:hAnsi="Century Gothic"/>
                <w:noProof/>
                <w:sz w:val="28"/>
                <w:szCs w:val="28"/>
              </w:rPr>
              <w:t>Annexure A - Technical Standards and Legislation</w:t>
            </w:r>
            <w:r w:rsidRPr="00BA7B52">
              <w:rPr>
                <w:rFonts w:ascii="Century Gothic" w:hAnsi="Century Gothic"/>
                <w:noProof/>
                <w:webHidden/>
              </w:rPr>
              <w:tab/>
            </w:r>
            <w:r w:rsidRPr="00BA7B52">
              <w:rPr>
                <w:rFonts w:ascii="Century Gothic" w:hAnsi="Century Gothic"/>
                <w:noProof/>
                <w:webHidden/>
              </w:rPr>
              <w:fldChar w:fldCharType="begin"/>
            </w:r>
            <w:r w:rsidRPr="00BA7B52">
              <w:rPr>
                <w:rFonts w:ascii="Century Gothic" w:hAnsi="Century Gothic"/>
                <w:noProof/>
                <w:webHidden/>
              </w:rPr>
              <w:instrText xml:space="preserve"> PAGEREF _Toc145484207 \h </w:instrText>
            </w:r>
            <w:r w:rsidRPr="00BA7B52">
              <w:rPr>
                <w:rFonts w:ascii="Century Gothic" w:hAnsi="Century Gothic"/>
                <w:noProof/>
                <w:webHidden/>
              </w:rPr>
            </w:r>
            <w:r w:rsidRPr="00BA7B52">
              <w:rPr>
                <w:rFonts w:ascii="Century Gothic" w:hAnsi="Century Gothic"/>
                <w:noProof/>
                <w:webHidden/>
              </w:rPr>
              <w:fldChar w:fldCharType="separate"/>
            </w:r>
            <w:r w:rsidRPr="00BA7B52">
              <w:rPr>
                <w:rFonts w:ascii="Century Gothic" w:hAnsi="Century Gothic"/>
                <w:noProof/>
                <w:webHidden/>
              </w:rPr>
              <w:t>53</w:t>
            </w:r>
            <w:r w:rsidRPr="00BA7B52">
              <w:rPr>
                <w:rFonts w:ascii="Century Gothic" w:hAnsi="Century Gothic"/>
                <w:noProof/>
                <w:webHidden/>
              </w:rPr>
              <w:fldChar w:fldCharType="end"/>
            </w:r>
          </w:hyperlink>
        </w:p>
        <w:p w14:paraId="0C8154F3" w14:textId="552C59EA" w:rsidR="00DF133C" w:rsidRPr="00BA7B52" w:rsidRDefault="00DF133C" w:rsidP="00DF133C">
          <w:pPr>
            <w:pStyle w:val="TOC1"/>
            <w:rPr>
              <w:rFonts w:ascii="Century Gothic" w:eastAsiaTheme="minorEastAsia" w:hAnsi="Century Gothic" w:cstheme="minorBidi"/>
              <w:noProof/>
              <w:sz w:val="32"/>
              <w:szCs w:val="32"/>
            </w:rPr>
          </w:pPr>
          <w:hyperlink w:anchor="_Toc145484208" w:history="1">
            <w:r w:rsidRPr="00BA7B52">
              <w:rPr>
                <w:rStyle w:val="Hyperlink"/>
                <w:rFonts w:ascii="Century Gothic" w:hAnsi="Century Gothic"/>
                <w:noProof/>
                <w:sz w:val="28"/>
                <w:szCs w:val="28"/>
              </w:rPr>
              <w:t>24.</w:t>
            </w:r>
            <w:r w:rsidRPr="00BA7B52">
              <w:rPr>
                <w:rFonts w:ascii="Century Gothic" w:eastAsiaTheme="minorEastAsia" w:hAnsi="Century Gothic" w:cstheme="minorBidi"/>
                <w:noProof/>
                <w:sz w:val="32"/>
                <w:szCs w:val="32"/>
              </w:rPr>
              <w:tab/>
            </w:r>
            <w:r w:rsidRPr="00BA7B52">
              <w:rPr>
                <w:rStyle w:val="Hyperlink"/>
                <w:rFonts w:ascii="Century Gothic" w:hAnsi="Century Gothic"/>
                <w:noProof/>
                <w:sz w:val="28"/>
                <w:szCs w:val="28"/>
              </w:rPr>
              <w:t>Annexure B - Qualifying Criteria Illustrative Examples</w:t>
            </w:r>
            <w:r w:rsidRPr="00BA7B52">
              <w:rPr>
                <w:rFonts w:ascii="Century Gothic" w:hAnsi="Century Gothic"/>
                <w:noProof/>
                <w:webHidden/>
              </w:rPr>
              <w:tab/>
            </w:r>
            <w:r w:rsidRPr="00BA7B52">
              <w:rPr>
                <w:rFonts w:ascii="Century Gothic" w:hAnsi="Century Gothic"/>
                <w:noProof/>
                <w:webHidden/>
              </w:rPr>
              <w:fldChar w:fldCharType="begin"/>
            </w:r>
            <w:r w:rsidRPr="00BA7B52">
              <w:rPr>
                <w:rFonts w:ascii="Century Gothic" w:hAnsi="Century Gothic"/>
                <w:noProof/>
                <w:webHidden/>
              </w:rPr>
              <w:instrText xml:space="preserve"> PAGEREF _Toc145484208 \h </w:instrText>
            </w:r>
            <w:r w:rsidRPr="00BA7B52">
              <w:rPr>
                <w:rFonts w:ascii="Century Gothic" w:hAnsi="Century Gothic"/>
                <w:noProof/>
                <w:webHidden/>
              </w:rPr>
            </w:r>
            <w:r w:rsidRPr="00BA7B52">
              <w:rPr>
                <w:rFonts w:ascii="Century Gothic" w:hAnsi="Century Gothic"/>
                <w:noProof/>
                <w:webHidden/>
              </w:rPr>
              <w:fldChar w:fldCharType="separate"/>
            </w:r>
            <w:r w:rsidRPr="00BA7B52">
              <w:rPr>
                <w:rFonts w:ascii="Century Gothic" w:hAnsi="Century Gothic"/>
                <w:noProof/>
                <w:webHidden/>
              </w:rPr>
              <w:t>54</w:t>
            </w:r>
            <w:r w:rsidRPr="00BA7B52">
              <w:rPr>
                <w:rFonts w:ascii="Century Gothic" w:hAnsi="Century Gothic"/>
                <w:noProof/>
                <w:webHidden/>
              </w:rPr>
              <w:fldChar w:fldCharType="end"/>
            </w:r>
          </w:hyperlink>
        </w:p>
        <w:p w14:paraId="58A49A2F" w14:textId="2F7ECAD0" w:rsidR="00DF133C" w:rsidRPr="00BA7B52" w:rsidRDefault="00DF133C" w:rsidP="00DF133C">
          <w:pPr>
            <w:pStyle w:val="TOC1"/>
            <w:rPr>
              <w:rFonts w:ascii="Century Gothic" w:eastAsiaTheme="minorEastAsia" w:hAnsi="Century Gothic" w:cstheme="minorBidi"/>
              <w:noProof/>
              <w:sz w:val="32"/>
              <w:szCs w:val="32"/>
            </w:rPr>
          </w:pPr>
          <w:hyperlink w:anchor="_Toc145484209" w:history="1">
            <w:r w:rsidRPr="00BA7B52">
              <w:rPr>
                <w:rStyle w:val="Hyperlink"/>
                <w:rFonts w:ascii="Century Gothic" w:hAnsi="Century Gothic"/>
                <w:noProof/>
                <w:sz w:val="28"/>
                <w:szCs w:val="28"/>
              </w:rPr>
              <w:t>25.</w:t>
            </w:r>
            <w:r w:rsidRPr="00BA7B52">
              <w:rPr>
                <w:rFonts w:ascii="Century Gothic" w:eastAsiaTheme="minorEastAsia" w:hAnsi="Century Gothic" w:cstheme="minorBidi"/>
                <w:noProof/>
                <w:sz w:val="32"/>
                <w:szCs w:val="32"/>
              </w:rPr>
              <w:tab/>
            </w:r>
            <w:r w:rsidRPr="00BA7B52">
              <w:rPr>
                <w:rStyle w:val="Hyperlink"/>
                <w:rFonts w:ascii="Century Gothic" w:hAnsi="Century Gothic"/>
                <w:noProof/>
                <w:sz w:val="28"/>
                <w:szCs w:val="28"/>
              </w:rPr>
              <w:t>Annexure C - Smart Metering Solution Components</w:t>
            </w:r>
            <w:r w:rsidRPr="00BA7B52">
              <w:rPr>
                <w:rFonts w:ascii="Century Gothic" w:hAnsi="Century Gothic"/>
                <w:noProof/>
                <w:webHidden/>
              </w:rPr>
              <w:tab/>
            </w:r>
            <w:r w:rsidRPr="00BA7B52">
              <w:rPr>
                <w:rFonts w:ascii="Century Gothic" w:hAnsi="Century Gothic"/>
                <w:noProof/>
                <w:webHidden/>
              </w:rPr>
              <w:fldChar w:fldCharType="begin"/>
            </w:r>
            <w:r w:rsidRPr="00BA7B52">
              <w:rPr>
                <w:rFonts w:ascii="Century Gothic" w:hAnsi="Century Gothic"/>
                <w:noProof/>
                <w:webHidden/>
              </w:rPr>
              <w:instrText xml:space="preserve"> PAGEREF _Toc145484209 \h </w:instrText>
            </w:r>
            <w:r w:rsidRPr="00BA7B52">
              <w:rPr>
                <w:rFonts w:ascii="Century Gothic" w:hAnsi="Century Gothic"/>
                <w:noProof/>
                <w:webHidden/>
              </w:rPr>
            </w:r>
            <w:r w:rsidRPr="00BA7B52">
              <w:rPr>
                <w:rFonts w:ascii="Century Gothic" w:hAnsi="Century Gothic"/>
                <w:noProof/>
                <w:webHidden/>
              </w:rPr>
              <w:fldChar w:fldCharType="separate"/>
            </w:r>
            <w:r w:rsidRPr="00BA7B52">
              <w:rPr>
                <w:rFonts w:ascii="Century Gothic" w:hAnsi="Century Gothic"/>
                <w:noProof/>
                <w:webHidden/>
              </w:rPr>
              <w:t>58</w:t>
            </w:r>
            <w:r w:rsidRPr="00BA7B52">
              <w:rPr>
                <w:rFonts w:ascii="Century Gothic" w:hAnsi="Century Gothic"/>
                <w:noProof/>
                <w:webHidden/>
              </w:rPr>
              <w:fldChar w:fldCharType="end"/>
            </w:r>
          </w:hyperlink>
        </w:p>
        <w:p w14:paraId="178817E1" w14:textId="3DBBE7D9" w:rsidR="00847AB8" w:rsidRPr="00215C8B" w:rsidRDefault="00847AB8">
          <w:pPr>
            <w:rPr>
              <w:rFonts w:ascii="Century Gothic" w:hAnsi="Century Gothic"/>
            </w:rPr>
          </w:pPr>
          <w:r w:rsidRPr="00BA7B52">
            <w:rPr>
              <w:rFonts w:ascii="Century Gothic" w:hAnsi="Century Gothic"/>
              <w:b/>
              <w:bCs/>
              <w:noProof/>
              <w:sz w:val="28"/>
              <w:szCs w:val="28"/>
            </w:rPr>
            <w:fldChar w:fldCharType="end"/>
          </w:r>
        </w:p>
      </w:sdtContent>
    </w:sdt>
    <w:p w14:paraId="437125EE" w14:textId="736C8E70" w:rsidR="00B21719" w:rsidRPr="00E55368" w:rsidRDefault="00B21719">
      <w:pPr>
        <w:spacing w:after="0"/>
        <w:rPr>
          <w:rFonts w:ascii="Century Gothic" w:hAnsi="Century Gothic"/>
        </w:rPr>
      </w:pPr>
      <w:r w:rsidRPr="00E55368">
        <w:rPr>
          <w:rFonts w:ascii="Century Gothic" w:hAnsi="Century Gothic"/>
        </w:rPr>
        <w:br w:type="page"/>
      </w:r>
    </w:p>
    <w:p w14:paraId="6EAFB019" w14:textId="5B516750" w:rsidR="008F3E49" w:rsidRPr="00E55368" w:rsidRDefault="00C82A06" w:rsidP="00790377">
      <w:pPr>
        <w:pStyle w:val="Heading1"/>
        <w:spacing w:beforeLines="40" w:before="96" w:afterLines="40" w:after="96" w:line="240" w:lineRule="auto"/>
      </w:pPr>
      <w:bookmarkStart w:id="6" w:name="_Toc134598042"/>
      <w:bookmarkStart w:id="7" w:name="_Toc145484189"/>
      <w:r w:rsidRPr="00E55368">
        <w:lastRenderedPageBreak/>
        <w:t xml:space="preserve">List of </w:t>
      </w:r>
      <w:r w:rsidR="000D03C2">
        <w:t>A</w:t>
      </w:r>
      <w:r w:rsidRPr="00E55368">
        <w:t>cronyms</w:t>
      </w:r>
      <w:bookmarkEnd w:id="6"/>
      <w:bookmarkEnd w:id="7"/>
    </w:p>
    <w:p w14:paraId="6E739BC1" w14:textId="05C03A70" w:rsidR="00D50FB3" w:rsidRPr="00831A39" w:rsidRDefault="00D50FB3" w:rsidP="00D50FB3">
      <w:pPr>
        <w:shd w:val="clear" w:color="auto" w:fill="F2F2F2" w:themeFill="background1" w:themeFillShade="F2"/>
        <w:rPr>
          <w:rFonts w:ascii="Century Gothic" w:hAnsi="Century Gothic"/>
          <w:i/>
          <w:iCs/>
        </w:rPr>
      </w:pPr>
      <w:r w:rsidRPr="001E388B">
        <w:rPr>
          <w:rFonts w:ascii="Segoe UI Emoji" w:hAnsi="Segoe UI Emoji" w:cs="Segoe UI Emoji"/>
        </w:rPr>
        <w:t>🔍</w:t>
      </w:r>
      <w:r w:rsidRPr="001E388B">
        <w:rPr>
          <w:rFonts w:ascii="Century Gothic" w:hAnsi="Century Gothic"/>
          <w:b/>
          <w:bCs/>
          <w:u w:val="single"/>
        </w:rPr>
        <w:t xml:space="preserve"> </w:t>
      </w:r>
      <w:r w:rsidRPr="00831A39">
        <w:rPr>
          <w:rFonts w:ascii="Century Gothic" w:hAnsi="Century Gothic"/>
          <w:b/>
          <w:bCs/>
          <w:i/>
          <w:iCs/>
          <w:u w:val="single"/>
        </w:rPr>
        <w:t>Explanatory notes:</w:t>
      </w:r>
    </w:p>
    <w:p w14:paraId="5591417F" w14:textId="6A1435A3" w:rsidR="00790377" w:rsidRPr="00831A39" w:rsidRDefault="00790377" w:rsidP="00D50FB3">
      <w:pPr>
        <w:shd w:val="clear" w:color="auto" w:fill="F2F2F2" w:themeFill="background1" w:themeFillShade="F2"/>
        <w:rPr>
          <w:rFonts w:ascii="Century Gothic" w:hAnsi="Century Gothic"/>
          <w:i/>
          <w:iCs/>
        </w:rPr>
      </w:pPr>
      <w:r w:rsidRPr="00831A39">
        <w:rPr>
          <w:rFonts w:ascii="Century Gothic" w:hAnsi="Century Gothic"/>
          <w:i/>
          <w:iCs/>
        </w:rPr>
        <w:t xml:space="preserve">Including a list of acronyms in a document enhances clarity and comprehension. It ensures that readers understand the meanings behind abbreviations, promotes consistency in language usage, and improves accessibility for individuals unfamiliar with specific terminology. By expanding acronyms in a dedicated list, the document remains concise while allowing readers to easily reference and grasp the full terms associated with each acronym. </w:t>
      </w:r>
      <w:r w:rsidR="00C045A0" w:rsidRPr="00831A39">
        <w:rPr>
          <w:rFonts w:ascii="Century Gothic" w:hAnsi="Century Gothic"/>
          <w:i/>
          <w:iCs/>
        </w:rPr>
        <w:t>Within the document, the first time the term is used it should be written out in full with the acronym in brackets, and th</w:t>
      </w:r>
      <w:r w:rsidR="00517BD3" w:rsidRPr="00831A39">
        <w:rPr>
          <w:rFonts w:ascii="Century Gothic" w:hAnsi="Century Gothic"/>
          <w:i/>
          <w:iCs/>
        </w:rPr>
        <w:t>ereafter you may use the acronym only.</w:t>
      </w:r>
      <w:r w:rsidR="00C045A0" w:rsidRPr="00831A39">
        <w:rPr>
          <w:rFonts w:ascii="Century Gothic" w:hAnsi="Century Gothic"/>
          <w:i/>
          <w:iCs/>
        </w:rPr>
        <w:t xml:space="preserve"> </w:t>
      </w:r>
      <w:r w:rsidRPr="00831A39">
        <w:rPr>
          <w:rFonts w:ascii="Century Gothic" w:hAnsi="Century Gothic"/>
          <w:i/>
          <w:iCs/>
        </w:rPr>
        <w:t>Overall, a list of acronyms enhances communication by facilitating understanding and avoiding confusion.</w:t>
      </w:r>
      <w:r w:rsidR="003D7CB7" w:rsidRPr="00831A39">
        <w:rPr>
          <w:rFonts w:ascii="Century Gothic" w:hAnsi="Century Gothic"/>
          <w:i/>
          <w:iCs/>
        </w:rPr>
        <w:t xml:space="preserve"> The municipality official can add to the below list based on updates made to the document</w:t>
      </w:r>
      <w:r w:rsidR="0077202B" w:rsidRPr="00831A39">
        <w:rPr>
          <w:rFonts w:ascii="Century Gothic" w:hAnsi="Century Gothic"/>
          <w:i/>
          <w:iCs/>
        </w:rPr>
        <w:t xml:space="preserve">. The list below is </w:t>
      </w:r>
      <w:r w:rsidR="002233A6" w:rsidRPr="00831A39">
        <w:rPr>
          <w:rFonts w:ascii="Century Gothic" w:hAnsi="Century Gothic"/>
          <w:i/>
          <w:iCs/>
        </w:rPr>
        <w:t>only a sample list and m</w:t>
      </w:r>
      <w:r w:rsidR="005B1F7E">
        <w:rPr>
          <w:rFonts w:ascii="Century Gothic" w:hAnsi="Century Gothic"/>
          <w:i/>
          <w:iCs/>
        </w:rPr>
        <w:t>ay need to</w:t>
      </w:r>
      <w:r w:rsidR="002233A6" w:rsidRPr="00831A39">
        <w:rPr>
          <w:rFonts w:ascii="Century Gothic" w:hAnsi="Century Gothic"/>
          <w:i/>
          <w:iCs/>
        </w:rPr>
        <w:t xml:space="preserve"> be </w:t>
      </w:r>
      <w:r w:rsidR="00F14FB5" w:rsidRPr="00831A39">
        <w:rPr>
          <w:rFonts w:ascii="Century Gothic" w:hAnsi="Century Gothic"/>
          <w:i/>
          <w:iCs/>
        </w:rPr>
        <w:t xml:space="preserve">updated by the </w:t>
      </w:r>
      <w:r w:rsidR="005B1F7E">
        <w:rPr>
          <w:rFonts w:ascii="Century Gothic" w:hAnsi="Century Gothic"/>
          <w:i/>
          <w:iCs/>
        </w:rPr>
        <w:t>M</w:t>
      </w:r>
      <w:r w:rsidR="00F14FB5" w:rsidRPr="00831A39">
        <w:rPr>
          <w:rFonts w:ascii="Century Gothic" w:hAnsi="Century Gothic"/>
          <w:i/>
          <w:iCs/>
        </w:rPr>
        <w:t>unicipality</w:t>
      </w:r>
      <w:r w:rsidR="005B1F7E">
        <w:rPr>
          <w:rFonts w:ascii="Century Gothic" w:hAnsi="Century Gothic"/>
          <w:i/>
          <w:iCs/>
        </w:rPr>
        <w:t xml:space="preserve"> to suite own needs</w:t>
      </w:r>
      <w:r w:rsidR="00F14FB5" w:rsidRPr="00831A39">
        <w:rPr>
          <w:rFonts w:ascii="Century Gothic" w:hAnsi="Century Gothic"/>
          <w:i/>
          <w:iCs/>
        </w:rPr>
        <w:t>.</w:t>
      </w:r>
    </w:p>
    <w:p w14:paraId="3684F9F3" w14:textId="70072CAD" w:rsidR="00D50FB3" w:rsidRPr="00D50FB3" w:rsidRDefault="00D50FB3" w:rsidP="00790377">
      <w:pPr>
        <w:rPr>
          <w:rFonts w:ascii="Century Gothic" w:hAnsi="Century Gothic"/>
          <w:b/>
          <w:bCs/>
          <w:u w:val="single"/>
        </w:rPr>
      </w:pPr>
      <w:r w:rsidRPr="00FE49F7">
        <w:rPr>
          <w:rFonts w:ascii="Segoe UI Emoji" w:hAnsi="Segoe UI Emoji" w:cs="Segoe UI Emoji"/>
          <w:b/>
          <w:bCs/>
          <w:u w:val="single"/>
        </w:rPr>
        <w:t>💡</w:t>
      </w:r>
      <w:r w:rsidRPr="00FE49F7">
        <w:rPr>
          <w:rFonts w:ascii="Century Gothic" w:hAnsi="Century Gothic"/>
          <w:b/>
          <w:bCs/>
          <w:u w:val="single"/>
        </w:rPr>
        <w:t xml:space="preserve">Illustrative example </w:t>
      </w:r>
    </w:p>
    <w:tbl>
      <w:tblPr>
        <w:tblStyle w:val="TableGridLight"/>
        <w:tblW w:w="8926" w:type="dxa"/>
        <w:tblLayout w:type="fixed"/>
        <w:tblLook w:val="0480" w:firstRow="0" w:lastRow="0" w:firstColumn="1" w:lastColumn="0" w:noHBand="0" w:noVBand="1"/>
      </w:tblPr>
      <w:tblGrid>
        <w:gridCol w:w="2196"/>
        <w:gridCol w:w="6730"/>
      </w:tblGrid>
      <w:tr w:rsidR="008F3E49" w:rsidRPr="00E55368" w14:paraId="3FA3A7C9" w14:textId="77777777" w:rsidTr="003D7CB7">
        <w:tc>
          <w:tcPr>
            <w:tcW w:w="2196" w:type="dxa"/>
          </w:tcPr>
          <w:p w14:paraId="12D33045" w14:textId="77777777" w:rsidR="006335FD" w:rsidRPr="00900E28" w:rsidRDefault="006335FD" w:rsidP="00FF0272">
            <w:pPr>
              <w:pBdr>
                <w:top w:val="nil"/>
                <w:left w:val="nil"/>
                <w:bottom w:val="nil"/>
                <w:right w:val="nil"/>
                <w:between w:val="nil"/>
              </w:pBdr>
              <w:spacing w:beforeLines="40" w:before="96" w:afterLines="40" w:after="96"/>
              <w:rPr>
                <w:rFonts w:ascii="Century Gothic" w:hAnsi="Century Gothic"/>
                <w:b/>
                <w:bCs/>
                <w:sz w:val="16"/>
                <w:szCs w:val="16"/>
              </w:rPr>
            </w:pPr>
            <w:r w:rsidRPr="00900E28">
              <w:rPr>
                <w:rFonts w:ascii="Century Gothic" w:hAnsi="Century Gothic"/>
                <w:b/>
                <w:bCs/>
                <w:sz w:val="16"/>
                <w:szCs w:val="16"/>
              </w:rPr>
              <w:t xml:space="preserve">ADMS </w:t>
            </w:r>
          </w:p>
          <w:p w14:paraId="21FD1ACD" w14:textId="372147FB" w:rsidR="00D50FB3" w:rsidRPr="00900E28" w:rsidRDefault="00D50FB3" w:rsidP="00FF0272">
            <w:pPr>
              <w:pBdr>
                <w:top w:val="nil"/>
                <w:left w:val="nil"/>
                <w:bottom w:val="nil"/>
                <w:right w:val="nil"/>
                <w:between w:val="nil"/>
              </w:pBdr>
              <w:spacing w:beforeLines="40" w:before="96" w:afterLines="40" w:after="96"/>
              <w:rPr>
                <w:rFonts w:ascii="Century Gothic" w:hAnsi="Century Gothic"/>
                <w:b/>
                <w:bCs/>
                <w:sz w:val="16"/>
                <w:szCs w:val="16"/>
              </w:rPr>
            </w:pPr>
            <w:r w:rsidRPr="00900E28">
              <w:rPr>
                <w:rFonts w:ascii="Century Gothic" w:hAnsi="Century Gothic"/>
                <w:b/>
                <w:bCs/>
                <w:sz w:val="16"/>
                <w:szCs w:val="16"/>
              </w:rPr>
              <w:t>AMI</w:t>
            </w:r>
          </w:p>
          <w:p w14:paraId="225AAD5C" w14:textId="0BB96FE7" w:rsidR="00C72842" w:rsidRPr="00900E28" w:rsidRDefault="00C72842" w:rsidP="00FF0272">
            <w:pPr>
              <w:pBdr>
                <w:top w:val="nil"/>
                <w:left w:val="nil"/>
                <w:bottom w:val="nil"/>
                <w:right w:val="nil"/>
                <w:between w:val="nil"/>
              </w:pBdr>
              <w:spacing w:beforeLines="40" w:before="96" w:afterLines="40" w:after="96"/>
              <w:rPr>
                <w:rFonts w:ascii="Century Gothic" w:hAnsi="Century Gothic"/>
                <w:b/>
                <w:bCs/>
                <w:sz w:val="16"/>
                <w:szCs w:val="16"/>
              </w:rPr>
            </w:pPr>
            <w:r w:rsidRPr="00900E28">
              <w:rPr>
                <w:rFonts w:ascii="Century Gothic" w:hAnsi="Century Gothic"/>
                <w:b/>
                <w:bCs/>
                <w:sz w:val="16"/>
                <w:szCs w:val="16"/>
              </w:rPr>
              <w:t>DERMS</w:t>
            </w:r>
          </w:p>
          <w:p w14:paraId="69E8B9D0" w14:textId="133CE3D5" w:rsidR="00D50FB3" w:rsidRPr="00900E28" w:rsidRDefault="00D50FB3" w:rsidP="00FF0272">
            <w:pPr>
              <w:pBdr>
                <w:top w:val="nil"/>
                <w:left w:val="nil"/>
                <w:bottom w:val="nil"/>
                <w:right w:val="nil"/>
                <w:between w:val="nil"/>
              </w:pBdr>
              <w:spacing w:beforeLines="40" w:before="96" w:afterLines="40" w:after="96"/>
              <w:rPr>
                <w:rFonts w:ascii="Century Gothic" w:hAnsi="Century Gothic"/>
                <w:b/>
                <w:bCs/>
                <w:sz w:val="16"/>
                <w:szCs w:val="16"/>
              </w:rPr>
            </w:pPr>
            <w:r w:rsidRPr="00900E28">
              <w:rPr>
                <w:rFonts w:ascii="Century Gothic" w:hAnsi="Century Gothic"/>
                <w:b/>
                <w:bCs/>
                <w:sz w:val="16"/>
                <w:szCs w:val="16"/>
              </w:rPr>
              <w:t xml:space="preserve">DFFE </w:t>
            </w:r>
          </w:p>
          <w:p w14:paraId="16FEDF18" w14:textId="71266B21" w:rsidR="008F3E49" w:rsidRPr="00900E28" w:rsidRDefault="00C82A06" w:rsidP="00FF0272">
            <w:pPr>
              <w:pBdr>
                <w:top w:val="nil"/>
                <w:left w:val="nil"/>
                <w:bottom w:val="nil"/>
                <w:right w:val="nil"/>
                <w:between w:val="nil"/>
              </w:pBdr>
              <w:spacing w:beforeLines="40" w:before="96" w:afterLines="40" w:after="96"/>
              <w:rPr>
                <w:rFonts w:ascii="Century Gothic" w:hAnsi="Century Gothic"/>
                <w:b/>
                <w:sz w:val="16"/>
                <w:szCs w:val="16"/>
              </w:rPr>
            </w:pPr>
            <w:r w:rsidRPr="00900E28">
              <w:rPr>
                <w:rFonts w:ascii="Century Gothic" w:hAnsi="Century Gothic"/>
                <w:b/>
                <w:sz w:val="16"/>
                <w:szCs w:val="16"/>
              </w:rPr>
              <w:t>D</w:t>
            </w:r>
            <w:r w:rsidR="00DD3643" w:rsidRPr="00900E28">
              <w:rPr>
                <w:rFonts w:ascii="Century Gothic" w:hAnsi="Century Gothic"/>
                <w:b/>
                <w:sz w:val="16"/>
                <w:szCs w:val="16"/>
              </w:rPr>
              <w:t>MR</w:t>
            </w:r>
            <w:r w:rsidRPr="00900E28">
              <w:rPr>
                <w:rFonts w:ascii="Century Gothic" w:hAnsi="Century Gothic"/>
                <w:b/>
                <w:sz w:val="16"/>
                <w:szCs w:val="16"/>
              </w:rPr>
              <w:t>E</w:t>
            </w:r>
          </w:p>
          <w:p w14:paraId="5D203D4A" w14:textId="38DC2DA7" w:rsidR="00537721" w:rsidRPr="00900E28" w:rsidRDefault="00537721" w:rsidP="00FF0272">
            <w:pPr>
              <w:pBdr>
                <w:top w:val="nil"/>
                <w:left w:val="nil"/>
                <w:bottom w:val="nil"/>
                <w:right w:val="nil"/>
                <w:between w:val="nil"/>
              </w:pBdr>
              <w:spacing w:beforeLines="40" w:before="96" w:afterLines="40" w:after="96"/>
              <w:rPr>
                <w:rFonts w:ascii="Century Gothic" w:hAnsi="Century Gothic"/>
                <w:b/>
                <w:sz w:val="16"/>
                <w:szCs w:val="16"/>
              </w:rPr>
            </w:pPr>
            <w:r w:rsidRPr="00900E28">
              <w:rPr>
                <w:rFonts w:ascii="Century Gothic" w:hAnsi="Century Gothic"/>
                <w:b/>
                <w:bCs/>
                <w:sz w:val="16"/>
                <w:szCs w:val="16"/>
                <w:lang w:val="en-US"/>
              </w:rPr>
              <w:t>DSO</w:t>
            </w:r>
          </w:p>
          <w:p w14:paraId="46F306FB" w14:textId="3C1ADBE6" w:rsidR="00131984" w:rsidRPr="00900E28" w:rsidRDefault="00131984" w:rsidP="00FF0272">
            <w:pPr>
              <w:pBdr>
                <w:top w:val="nil"/>
                <w:left w:val="nil"/>
                <w:bottom w:val="nil"/>
                <w:right w:val="nil"/>
                <w:between w:val="nil"/>
              </w:pBdr>
              <w:spacing w:beforeLines="40" w:before="96" w:afterLines="40" w:after="96"/>
              <w:rPr>
                <w:rFonts w:ascii="Century Gothic" w:hAnsi="Century Gothic"/>
                <w:b/>
                <w:sz w:val="16"/>
                <w:szCs w:val="16"/>
              </w:rPr>
            </w:pPr>
            <w:r w:rsidRPr="00900E28">
              <w:rPr>
                <w:rFonts w:ascii="Century Gothic" w:hAnsi="Century Gothic"/>
                <w:b/>
                <w:sz w:val="16"/>
                <w:szCs w:val="16"/>
              </w:rPr>
              <w:t>EA</w:t>
            </w:r>
          </w:p>
          <w:p w14:paraId="223C962B" w14:textId="6833FDB9" w:rsidR="001106B7" w:rsidRPr="00900E28" w:rsidRDefault="001106B7" w:rsidP="00FF0272">
            <w:pPr>
              <w:pBdr>
                <w:top w:val="nil"/>
                <w:left w:val="nil"/>
                <w:bottom w:val="nil"/>
                <w:right w:val="nil"/>
                <w:between w:val="nil"/>
              </w:pBdr>
              <w:spacing w:beforeLines="40" w:before="96" w:afterLines="40" w:after="96"/>
              <w:rPr>
                <w:rFonts w:ascii="Century Gothic" w:hAnsi="Century Gothic"/>
                <w:b/>
                <w:sz w:val="16"/>
                <w:szCs w:val="16"/>
              </w:rPr>
            </w:pPr>
            <w:r w:rsidRPr="00900E28">
              <w:rPr>
                <w:rFonts w:ascii="Century Gothic" w:hAnsi="Century Gothic"/>
                <w:b/>
                <w:sz w:val="16"/>
                <w:szCs w:val="16"/>
              </w:rPr>
              <w:t>EG</w:t>
            </w:r>
          </w:p>
          <w:p w14:paraId="4AC16CA4" w14:textId="777A868F" w:rsidR="008F3E49" w:rsidRPr="00900E28" w:rsidRDefault="00C82A06" w:rsidP="00FF0272">
            <w:pPr>
              <w:pBdr>
                <w:top w:val="nil"/>
                <w:left w:val="nil"/>
                <w:bottom w:val="nil"/>
                <w:right w:val="nil"/>
                <w:between w:val="nil"/>
              </w:pBdr>
              <w:spacing w:beforeLines="40" w:before="96" w:afterLines="40" w:after="96"/>
              <w:rPr>
                <w:rFonts w:ascii="Century Gothic" w:hAnsi="Century Gothic"/>
                <w:b/>
                <w:sz w:val="16"/>
                <w:szCs w:val="16"/>
              </w:rPr>
            </w:pPr>
            <w:r w:rsidRPr="00900E28">
              <w:rPr>
                <w:rFonts w:ascii="Century Gothic" w:hAnsi="Century Gothic"/>
                <w:b/>
                <w:sz w:val="16"/>
                <w:szCs w:val="16"/>
              </w:rPr>
              <w:t>ERA</w:t>
            </w:r>
          </w:p>
          <w:p w14:paraId="32890646" w14:textId="37881D11" w:rsidR="00E55368" w:rsidRPr="00900E28" w:rsidRDefault="00E55368" w:rsidP="00FF0272">
            <w:pPr>
              <w:pBdr>
                <w:top w:val="nil"/>
                <w:left w:val="nil"/>
                <w:bottom w:val="nil"/>
                <w:right w:val="nil"/>
                <w:between w:val="nil"/>
              </w:pBdr>
              <w:spacing w:beforeLines="40" w:before="96" w:afterLines="40" w:after="96"/>
              <w:rPr>
                <w:rFonts w:ascii="Century Gothic" w:hAnsi="Century Gothic"/>
                <w:b/>
                <w:sz w:val="16"/>
                <w:szCs w:val="16"/>
              </w:rPr>
            </w:pPr>
            <w:r w:rsidRPr="00900E28">
              <w:rPr>
                <w:rFonts w:ascii="Century Gothic" w:hAnsi="Century Gothic"/>
                <w:b/>
                <w:sz w:val="16"/>
                <w:szCs w:val="16"/>
              </w:rPr>
              <w:t>EPP</w:t>
            </w:r>
          </w:p>
          <w:p w14:paraId="55791CA8" w14:textId="224D2A7B" w:rsidR="005820B9" w:rsidRPr="00900E28" w:rsidRDefault="005820B9" w:rsidP="00FF0272">
            <w:pPr>
              <w:pBdr>
                <w:top w:val="nil"/>
                <w:left w:val="nil"/>
                <w:bottom w:val="nil"/>
                <w:right w:val="nil"/>
                <w:between w:val="nil"/>
              </w:pBdr>
              <w:spacing w:beforeLines="40" w:before="96" w:afterLines="40" w:after="96"/>
              <w:rPr>
                <w:rFonts w:ascii="Century Gothic" w:hAnsi="Century Gothic"/>
                <w:b/>
                <w:sz w:val="16"/>
                <w:szCs w:val="16"/>
              </w:rPr>
            </w:pPr>
            <w:r w:rsidRPr="00900E28">
              <w:rPr>
                <w:rFonts w:ascii="Century Gothic" w:hAnsi="Century Gothic"/>
                <w:b/>
                <w:bCs/>
                <w:sz w:val="16"/>
                <w:szCs w:val="16"/>
                <w:lang w:val="en-US"/>
              </w:rPr>
              <w:t>JETP</w:t>
            </w:r>
          </w:p>
          <w:p w14:paraId="592460A4" w14:textId="70038246" w:rsidR="00D31B95" w:rsidRPr="00900E28" w:rsidRDefault="00D31B95" w:rsidP="00FF0272">
            <w:pPr>
              <w:pBdr>
                <w:top w:val="nil"/>
                <w:left w:val="nil"/>
                <w:bottom w:val="nil"/>
                <w:right w:val="nil"/>
                <w:between w:val="nil"/>
              </w:pBdr>
              <w:spacing w:beforeLines="40" w:before="96" w:afterLines="40" w:after="96"/>
              <w:rPr>
                <w:rFonts w:ascii="Century Gothic" w:hAnsi="Century Gothic"/>
                <w:b/>
                <w:sz w:val="16"/>
                <w:szCs w:val="16"/>
              </w:rPr>
            </w:pPr>
            <w:r w:rsidRPr="00900E28">
              <w:rPr>
                <w:rFonts w:ascii="Century Gothic" w:hAnsi="Century Gothic"/>
                <w:b/>
                <w:sz w:val="16"/>
                <w:szCs w:val="16"/>
              </w:rPr>
              <w:t>IPP</w:t>
            </w:r>
          </w:p>
          <w:p w14:paraId="449EC6F3" w14:textId="1DD3DFF5" w:rsidR="001106B7" w:rsidRPr="00900E28" w:rsidRDefault="001106B7" w:rsidP="00FF0272">
            <w:pPr>
              <w:pBdr>
                <w:top w:val="nil"/>
                <w:left w:val="nil"/>
                <w:bottom w:val="nil"/>
                <w:right w:val="nil"/>
                <w:between w:val="nil"/>
              </w:pBdr>
              <w:spacing w:beforeLines="40" w:before="96" w:afterLines="40" w:after="96"/>
              <w:rPr>
                <w:rFonts w:ascii="Century Gothic" w:hAnsi="Century Gothic"/>
                <w:b/>
                <w:sz w:val="16"/>
                <w:szCs w:val="16"/>
              </w:rPr>
            </w:pPr>
            <w:r w:rsidRPr="00900E28">
              <w:rPr>
                <w:rFonts w:ascii="Century Gothic" w:hAnsi="Century Gothic"/>
                <w:b/>
                <w:sz w:val="16"/>
                <w:szCs w:val="16"/>
              </w:rPr>
              <w:t>kW</w:t>
            </w:r>
          </w:p>
          <w:p w14:paraId="02B4FD3B" w14:textId="107D0EEF" w:rsidR="001829D9" w:rsidRPr="00900E28" w:rsidRDefault="001829D9" w:rsidP="00FF0272">
            <w:pPr>
              <w:pBdr>
                <w:top w:val="nil"/>
                <w:left w:val="nil"/>
                <w:bottom w:val="nil"/>
                <w:right w:val="nil"/>
                <w:between w:val="nil"/>
              </w:pBdr>
              <w:spacing w:beforeLines="40" w:before="96" w:afterLines="40" w:after="96"/>
              <w:rPr>
                <w:rFonts w:ascii="Century Gothic" w:hAnsi="Century Gothic"/>
                <w:b/>
                <w:sz w:val="16"/>
                <w:szCs w:val="16"/>
              </w:rPr>
            </w:pPr>
            <w:r w:rsidRPr="00900E28">
              <w:rPr>
                <w:rFonts w:ascii="Century Gothic" w:hAnsi="Century Gothic"/>
                <w:b/>
                <w:sz w:val="16"/>
                <w:szCs w:val="16"/>
              </w:rPr>
              <w:t>kWh</w:t>
            </w:r>
          </w:p>
          <w:p w14:paraId="6C80A99E" w14:textId="761FF625" w:rsidR="005C0223" w:rsidRPr="00900E28" w:rsidRDefault="005C0223" w:rsidP="00FF0272">
            <w:pPr>
              <w:pBdr>
                <w:top w:val="nil"/>
                <w:left w:val="nil"/>
                <w:bottom w:val="nil"/>
                <w:right w:val="nil"/>
                <w:between w:val="nil"/>
              </w:pBdr>
              <w:spacing w:beforeLines="40" w:before="96" w:afterLines="40" w:after="96"/>
              <w:rPr>
                <w:rFonts w:ascii="Century Gothic" w:hAnsi="Century Gothic"/>
                <w:b/>
                <w:sz w:val="16"/>
                <w:szCs w:val="16"/>
              </w:rPr>
            </w:pPr>
            <w:r w:rsidRPr="00900E28">
              <w:rPr>
                <w:rFonts w:ascii="Century Gothic" w:hAnsi="Century Gothic"/>
                <w:b/>
                <w:sz w:val="16"/>
                <w:szCs w:val="16"/>
              </w:rPr>
              <w:t>MDMS</w:t>
            </w:r>
          </w:p>
          <w:p w14:paraId="4DDEFCD4" w14:textId="1052B7E4" w:rsidR="00C26AB0" w:rsidRPr="00900E28" w:rsidRDefault="00C26AB0" w:rsidP="00FF0272">
            <w:pPr>
              <w:pBdr>
                <w:top w:val="nil"/>
                <w:left w:val="nil"/>
                <w:bottom w:val="nil"/>
                <w:right w:val="nil"/>
                <w:between w:val="nil"/>
              </w:pBdr>
              <w:spacing w:beforeLines="40" w:before="96" w:afterLines="40" w:after="96"/>
              <w:rPr>
                <w:rFonts w:ascii="Century Gothic" w:hAnsi="Century Gothic"/>
                <w:b/>
                <w:sz w:val="16"/>
                <w:szCs w:val="16"/>
              </w:rPr>
            </w:pPr>
            <w:r w:rsidRPr="00900E28">
              <w:rPr>
                <w:rFonts w:ascii="Century Gothic" w:hAnsi="Century Gothic"/>
                <w:b/>
                <w:sz w:val="16"/>
                <w:szCs w:val="16"/>
              </w:rPr>
              <w:t>MFMA</w:t>
            </w:r>
          </w:p>
          <w:p w14:paraId="04D98F90" w14:textId="5B2C4EFC" w:rsidR="001106B7" w:rsidRPr="00900E28" w:rsidRDefault="001106B7" w:rsidP="00FF0272">
            <w:pPr>
              <w:pBdr>
                <w:top w:val="nil"/>
                <w:left w:val="nil"/>
                <w:bottom w:val="nil"/>
                <w:right w:val="nil"/>
                <w:between w:val="nil"/>
              </w:pBdr>
              <w:spacing w:beforeLines="40" w:before="96" w:afterLines="40" w:after="96"/>
              <w:rPr>
                <w:rFonts w:ascii="Century Gothic" w:hAnsi="Century Gothic"/>
                <w:b/>
                <w:sz w:val="16"/>
                <w:szCs w:val="16"/>
              </w:rPr>
            </w:pPr>
            <w:r w:rsidRPr="00900E28">
              <w:rPr>
                <w:rFonts w:ascii="Century Gothic" w:hAnsi="Century Gothic"/>
                <w:b/>
                <w:sz w:val="16"/>
                <w:szCs w:val="16"/>
              </w:rPr>
              <w:t>MW</w:t>
            </w:r>
          </w:p>
          <w:p w14:paraId="46685319" w14:textId="007E0B0E" w:rsidR="001829D9" w:rsidRPr="00900E28" w:rsidRDefault="001829D9" w:rsidP="00FF0272">
            <w:pPr>
              <w:pBdr>
                <w:top w:val="nil"/>
                <w:left w:val="nil"/>
                <w:bottom w:val="nil"/>
                <w:right w:val="nil"/>
                <w:between w:val="nil"/>
              </w:pBdr>
              <w:spacing w:beforeLines="40" w:before="96" w:afterLines="40" w:after="96"/>
              <w:rPr>
                <w:rFonts w:ascii="Century Gothic" w:hAnsi="Century Gothic"/>
                <w:b/>
                <w:sz w:val="16"/>
                <w:szCs w:val="16"/>
              </w:rPr>
            </w:pPr>
            <w:r w:rsidRPr="00900E28">
              <w:rPr>
                <w:rFonts w:ascii="Century Gothic" w:hAnsi="Century Gothic"/>
                <w:b/>
                <w:sz w:val="16"/>
                <w:szCs w:val="16"/>
              </w:rPr>
              <w:t>MWh</w:t>
            </w:r>
          </w:p>
          <w:p w14:paraId="197A342A" w14:textId="063863BC" w:rsidR="008F3E49" w:rsidRPr="00900E28" w:rsidRDefault="00C82A06" w:rsidP="00FF0272">
            <w:pPr>
              <w:pBdr>
                <w:top w:val="nil"/>
                <w:left w:val="nil"/>
                <w:bottom w:val="nil"/>
                <w:right w:val="nil"/>
                <w:between w:val="nil"/>
              </w:pBdr>
              <w:spacing w:beforeLines="40" w:before="96" w:afterLines="40" w:after="96"/>
              <w:rPr>
                <w:rFonts w:ascii="Century Gothic" w:hAnsi="Century Gothic"/>
                <w:b/>
                <w:sz w:val="16"/>
                <w:szCs w:val="16"/>
              </w:rPr>
            </w:pPr>
            <w:r w:rsidRPr="00900E28">
              <w:rPr>
                <w:rFonts w:ascii="Century Gothic" w:hAnsi="Century Gothic"/>
                <w:b/>
                <w:sz w:val="16"/>
                <w:szCs w:val="16"/>
              </w:rPr>
              <w:t>NRS</w:t>
            </w:r>
          </w:p>
          <w:p w14:paraId="3C56C6BD" w14:textId="11A4946B" w:rsidR="00E55368" w:rsidRPr="00900E28" w:rsidRDefault="00E55368" w:rsidP="00FF0272">
            <w:pPr>
              <w:pBdr>
                <w:top w:val="nil"/>
                <w:left w:val="nil"/>
                <w:bottom w:val="nil"/>
                <w:right w:val="nil"/>
                <w:between w:val="nil"/>
              </w:pBdr>
              <w:spacing w:beforeLines="40" w:before="96" w:afterLines="40" w:after="96"/>
              <w:rPr>
                <w:rFonts w:ascii="Century Gothic" w:hAnsi="Century Gothic"/>
                <w:b/>
                <w:sz w:val="16"/>
                <w:szCs w:val="16"/>
              </w:rPr>
            </w:pPr>
            <w:r w:rsidRPr="00900E28">
              <w:rPr>
                <w:rFonts w:ascii="Century Gothic" w:hAnsi="Century Gothic"/>
                <w:b/>
                <w:sz w:val="16"/>
                <w:szCs w:val="16"/>
              </w:rPr>
              <w:t>NSP</w:t>
            </w:r>
          </w:p>
          <w:p w14:paraId="002FF76B" w14:textId="77777777" w:rsidR="008F3E49" w:rsidRPr="00900E28" w:rsidRDefault="00C82A06" w:rsidP="00FF0272">
            <w:pPr>
              <w:pBdr>
                <w:top w:val="nil"/>
                <w:left w:val="nil"/>
                <w:bottom w:val="nil"/>
                <w:right w:val="nil"/>
                <w:between w:val="nil"/>
              </w:pBdr>
              <w:spacing w:beforeLines="40" w:before="96" w:afterLines="40" w:after="96"/>
              <w:rPr>
                <w:rFonts w:ascii="Century Gothic" w:hAnsi="Century Gothic"/>
                <w:b/>
                <w:sz w:val="16"/>
                <w:szCs w:val="16"/>
              </w:rPr>
            </w:pPr>
            <w:r w:rsidRPr="00900E28">
              <w:rPr>
                <w:rFonts w:ascii="Century Gothic" w:hAnsi="Century Gothic"/>
                <w:b/>
                <w:sz w:val="16"/>
                <w:szCs w:val="16"/>
              </w:rPr>
              <w:t>NERSA</w:t>
            </w:r>
          </w:p>
          <w:p w14:paraId="529114F3" w14:textId="22DDA291" w:rsidR="00A8712B" w:rsidRPr="00900E28" w:rsidRDefault="00A8712B" w:rsidP="00FF0272">
            <w:pPr>
              <w:pBdr>
                <w:top w:val="nil"/>
                <w:left w:val="nil"/>
                <w:bottom w:val="nil"/>
                <w:right w:val="nil"/>
                <w:between w:val="nil"/>
              </w:pBdr>
              <w:spacing w:beforeLines="40" w:before="96" w:afterLines="40" w:after="96"/>
              <w:rPr>
                <w:rFonts w:ascii="Century Gothic" w:hAnsi="Century Gothic"/>
                <w:b/>
                <w:bCs/>
                <w:sz w:val="16"/>
                <w:szCs w:val="16"/>
                <w:lang w:val="en-US"/>
              </w:rPr>
            </w:pPr>
            <w:r w:rsidRPr="00900E28">
              <w:rPr>
                <w:rFonts w:ascii="Century Gothic" w:hAnsi="Century Gothic"/>
                <w:b/>
                <w:bCs/>
                <w:sz w:val="16"/>
                <w:szCs w:val="16"/>
                <w:lang w:val="en-US"/>
              </w:rPr>
              <w:t>PPA</w:t>
            </w:r>
          </w:p>
          <w:p w14:paraId="4A8EEA3E" w14:textId="60AB7BEE" w:rsidR="00891942" w:rsidRPr="00900E28" w:rsidRDefault="00BC4677" w:rsidP="00FF0272">
            <w:pPr>
              <w:pBdr>
                <w:top w:val="nil"/>
                <w:left w:val="nil"/>
                <w:bottom w:val="nil"/>
                <w:right w:val="nil"/>
                <w:between w:val="nil"/>
              </w:pBdr>
              <w:spacing w:beforeLines="40" w:before="96" w:afterLines="40" w:after="96"/>
              <w:rPr>
                <w:rFonts w:ascii="Century Gothic" w:hAnsi="Century Gothic"/>
                <w:b/>
                <w:bCs/>
                <w:sz w:val="16"/>
                <w:szCs w:val="16"/>
                <w:lang w:val="en-US"/>
              </w:rPr>
            </w:pPr>
            <w:r w:rsidRPr="00900E28">
              <w:rPr>
                <w:rFonts w:ascii="Century Gothic" w:hAnsi="Century Gothic"/>
                <w:b/>
                <w:bCs/>
                <w:sz w:val="16"/>
                <w:szCs w:val="16"/>
                <w:lang w:val="en-US"/>
              </w:rPr>
              <w:t>REC</w:t>
            </w:r>
          </w:p>
          <w:p w14:paraId="4AD55453" w14:textId="507EA281" w:rsidR="00433DC8" w:rsidRPr="00900E28" w:rsidRDefault="00BD31A9" w:rsidP="00FF0272">
            <w:pPr>
              <w:pBdr>
                <w:top w:val="nil"/>
                <w:left w:val="nil"/>
                <w:bottom w:val="nil"/>
                <w:right w:val="nil"/>
                <w:between w:val="nil"/>
              </w:pBdr>
              <w:spacing w:beforeLines="40" w:before="96" w:afterLines="40" w:after="96"/>
              <w:rPr>
                <w:rFonts w:ascii="Century Gothic" w:hAnsi="Century Gothic"/>
                <w:b/>
                <w:sz w:val="16"/>
                <w:szCs w:val="16"/>
              </w:rPr>
            </w:pPr>
            <w:r w:rsidRPr="00900E28">
              <w:rPr>
                <w:rFonts w:ascii="Century Gothic" w:hAnsi="Century Gothic"/>
                <w:b/>
                <w:bCs/>
                <w:sz w:val="16"/>
                <w:szCs w:val="16"/>
                <w:lang w:val="en-US"/>
              </w:rPr>
              <w:t>REIPPP</w:t>
            </w:r>
          </w:p>
          <w:p w14:paraId="4B337446" w14:textId="77777777" w:rsidR="008F3E49" w:rsidRPr="00900E28" w:rsidRDefault="00C82A06" w:rsidP="00FF0272">
            <w:pPr>
              <w:pBdr>
                <w:top w:val="nil"/>
                <w:left w:val="nil"/>
                <w:bottom w:val="nil"/>
                <w:right w:val="nil"/>
                <w:between w:val="nil"/>
              </w:pBdr>
              <w:spacing w:beforeLines="40" w:before="96" w:afterLines="40" w:after="96"/>
              <w:rPr>
                <w:rFonts w:ascii="Century Gothic" w:hAnsi="Century Gothic"/>
                <w:b/>
                <w:sz w:val="16"/>
                <w:szCs w:val="16"/>
              </w:rPr>
            </w:pPr>
            <w:r w:rsidRPr="00900E28">
              <w:rPr>
                <w:rFonts w:ascii="Century Gothic" w:hAnsi="Century Gothic"/>
                <w:b/>
                <w:sz w:val="16"/>
                <w:szCs w:val="16"/>
              </w:rPr>
              <w:t>SANS</w:t>
            </w:r>
          </w:p>
          <w:p w14:paraId="6CA6D7AF" w14:textId="46F56E95" w:rsidR="009C751E" w:rsidRPr="00900E28" w:rsidRDefault="009C751E" w:rsidP="00FF0272">
            <w:pPr>
              <w:pBdr>
                <w:top w:val="nil"/>
                <w:left w:val="nil"/>
                <w:bottom w:val="nil"/>
                <w:right w:val="nil"/>
                <w:between w:val="nil"/>
              </w:pBdr>
              <w:spacing w:beforeLines="40" w:before="96" w:afterLines="40" w:after="96"/>
              <w:rPr>
                <w:rFonts w:ascii="Century Gothic" w:hAnsi="Century Gothic"/>
                <w:b/>
                <w:sz w:val="16"/>
                <w:szCs w:val="16"/>
              </w:rPr>
            </w:pPr>
            <w:r w:rsidRPr="00900E28">
              <w:rPr>
                <w:rFonts w:ascii="Century Gothic" w:hAnsi="Century Gothic"/>
                <w:b/>
                <w:sz w:val="16"/>
                <w:szCs w:val="16"/>
              </w:rPr>
              <w:t>SEA</w:t>
            </w:r>
          </w:p>
          <w:p w14:paraId="1690DFD5" w14:textId="77777777" w:rsidR="00D50FB3" w:rsidRPr="00900E28" w:rsidRDefault="00C82A06" w:rsidP="00FF0272">
            <w:pPr>
              <w:pBdr>
                <w:top w:val="nil"/>
                <w:left w:val="nil"/>
                <w:bottom w:val="nil"/>
                <w:right w:val="nil"/>
                <w:between w:val="nil"/>
              </w:pBdr>
              <w:spacing w:beforeLines="40" w:before="96" w:afterLines="40" w:after="96"/>
              <w:rPr>
                <w:rFonts w:ascii="Century Gothic" w:hAnsi="Century Gothic"/>
                <w:b/>
                <w:bCs/>
                <w:sz w:val="16"/>
                <w:szCs w:val="16"/>
              </w:rPr>
            </w:pPr>
            <w:r w:rsidRPr="00900E28">
              <w:rPr>
                <w:rFonts w:ascii="Century Gothic" w:hAnsi="Century Gothic"/>
                <w:b/>
                <w:sz w:val="16"/>
                <w:szCs w:val="16"/>
              </w:rPr>
              <w:t>SSEG</w:t>
            </w:r>
            <w:r w:rsidR="00D50FB3" w:rsidRPr="00900E28">
              <w:rPr>
                <w:rFonts w:ascii="Century Gothic" w:hAnsi="Century Gothic"/>
                <w:b/>
                <w:bCs/>
                <w:sz w:val="16"/>
                <w:szCs w:val="16"/>
              </w:rPr>
              <w:t xml:space="preserve"> </w:t>
            </w:r>
          </w:p>
          <w:p w14:paraId="20C0DFC5" w14:textId="2255572B" w:rsidR="00BB7111" w:rsidRPr="00900E28" w:rsidRDefault="00BB7111" w:rsidP="00FF0272">
            <w:pPr>
              <w:pBdr>
                <w:top w:val="nil"/>
                <w:left w:val="nil"/>
                <w:bottom w:val="nil"/>
                <w:right w:val="nil"/>
                <w:between w:val="nil"/>
              </w:pBdr>
              <w:spacing w:beforeLines="40" w:before="96" w:afterLines="40" w:after="96"/>
              <w:rPr>
                <w:rFonts w:ascii="Century Gothic" w:hAnsi="Century Gothic"/>
                <w:b/>
                <w:bCs/>
                <w:sz w:val="16"/>
                <w:szCs w:val="16"/>
                <w:lang w:val="en-US"/>
              </w:rPr>
            </w:pPr>
            <w:r w:rsidRPr="00900E28">
              <w:rPr>
                <w:rFonts w:ascii="Century Gothic" w:hAnsi="Century Gothic"/>
                <w:b/>
                <w:bCs/>
                <w:sz w:val="16"/>
                <w:szCs w:val="16"/>
                <w:lang w:val="en-US"/>
              </w:rPr>
              <w:t>TSO</w:t>
            </w:r>
          </w:p>
          <w:p w14:paraId="34515900" w14:textId="14CE397E" w:rsidR="00F432A0" w:rsidRPr="00900E28" w:rsidRDefault="002233A6" w:rsidP="00FF0272">
            <w:pPr>
              <w:pBdr>
                <w:top w:val="nil"/>
                <w:left w:val="nil"/>
                <w:bottom w:val="nil"/>
                <w:right w:val="nil"/>
                <w:between w:val="nil"/>
              </w:pBdr>
              <w:spacing w:beforeLines="40" w:before="96" w:afterLines="40" w:after="96"/>
              <w:rPr>
                <w:rFonts w:ascii="Century Gothic" w:hAnsi="Century Gothic"/>
                <w:b/>
                <w:bCs/>
                <w:sz w:val="16"/>
                <w:szCs w:val="16"/>
              </w:rPr>
            </w:pPr>
            <w:proofErr w:type="spellStart"/>
            <w:r w:rsidRPr="00900E28">
              <w:rPr>
                <w:rFonts w:ascii="Century Gothic" w:hAnsi="Century Gothic"/>
                <w:b/>
                <w:bCs/>
                <w:sz w:val="16"/>
                <w:szCs w:val="16"/>
                <w:lang w:val="en-US"/>
              </w:rPr>
              <w:t>ToU</w:t>
            </w:r>
            <w:proofErr w:type="spellEnd"/>
          </w:p>
          <w:p w14:paraId="7CA16FE5" w14:textId="77777777" w:rsidR="008F3E49" w:rsidRPr="00900E28" w:rsidRDefault="00D50FB3" w:rsidP="00FF0272">
            <w:pPr>
              <w:pBdr>
                <w:top w:val="nil"/>
                <w:left w:val="nil"/>
                <w:bottom w:val="nil"/>
                <w:right w:val="nil"/>
                <w:between w:val="nil"/>
              </w:pBdr>
              <w:spacing w:beforeLines="40" w:before="96" w:afterLines="40" w:after="96"/>
              <w:rPr>
                <w:rFonts w:ascii="Century Gothic" w:hAnsi="Century Gothic"/>
                <w:b/>
                <w:bCs/>
                <w:sz w:val="16"/>
                <w:szCs w:val="16"/>
              </w:rPr>
            </w:pPr>
            <w:r w:rsidRPr="00900E28">
              <w:rPr>
                <w:rFonts w:ascii="Century Gothic" w:hAnsi="Century Gothic"/>
                <w:b/>
                <w:bCs/>
                <w:sz w:val="16"/>
                <w:szCs w:val="16"/>
              </w:rPr>
              <w:t>UOS</w:t>
            </w:r>
          </w:p>
          <w:p w14:paraId="79FFE2E3" w14:textId="77777777" w:rsidR="008F3E49" w:rsidRPr="00900E28" w:rsidRDefault="00D50FB3" w:rsidP="00FF0272">
            <w:pPr>
              <w:pBdr>
                <w:top w:val="nil"/>
                <w:left w:val="nil"/>
                <w:bottom w:val="nil"/>
                <w:right w:val="nil"/>
                <w:between w:val="nil"/>
              </w:pBdr>
              <w:spacing w:beforeLines="40" w:before="96" w:afterLines="40" w:after="96"/>
              <w:rPr>
                <w:rFonts w:ascii="Century Gothic" w:hAnsi="Century Gothic"/>
                <w:b/>
                <w:bCs/>
                <w:sz w:val="16"/>
                <w:szCs w:val="16"/>
              </w:rPr>
            </w:pPr>
            <w:r w:rsidRPr="00900E28">
              <w:rPr>
                <w:rFonts w:ascii="Century Gothic" w:hAnsi="Century Gothic"/>
                <w:b/>
                <w:bCs/>
                <w:sz w:val="16"/>
                <w:szCs w:val="16"/>
              </w:rPr>
              <w:t>WEPS</w:t>
            </w:r>
          </w:p>
          <w:p w14:paraId="10008850" w14:textId="52E4155E" w:rsidR="00F14FB5" w:rsidRPr="00900E28" w:rsidRDefault="00F14FB5" w:rsidP="00FF0272">
            <w:pPr>
              <w:pBdr>
                <w:top w:val="nil"/>
                <w:left w:val="nil"/>
                <w:bottom w:val="nil"/>
                <w:right w:val="nil"/>
                <w:between w:val="nil"/>
              </w:pBdr>
              <w:spacing w:beforeLines="40" w:before="96" w:afterLines="40" w:after="96"/>
              <w:rPr>
                <w:rFonts w:ascii="Century Gothic" w:hAnsi="Century Gothic"/>
                <w:sz w:val="16"/>
                <w:szCs w:val="16"/>
              </w:rPr>
            </w:pPr>
            <w:r w:rsidRPr="00900E28">
              <w:rPr>
                <w:rFonts w:ascii="Century Gothic" w:hAnsi="Century Gothic"/>
                <w:b/>
                <w:bCs/>
                <w:sz w:val="16"/>
                <w:szCs w:val="16"/>
              </w:rPr>
              <w:t>xxx</w:t>
            </w:r>
          </w:p>
        </w:tc>
        <w:tc>
          <w:tcPr>
            <w:tcW w:w="6730" w:type="dxa"/>
          </w:tcPr>
          <w:p w14:paraId="5EBBC97F" w14:textId="78BD064F" w:rsidR="006335FD" w:rsidRPr="00900E28" w:rsidRDefault="005C312A" w:rsidP="00FF0272">
            <w:pPr>
              <w:pBdr>
                <w:top w:val="nil"/>
                <w:left w:val="nil"/>
                <w:bottom w:val="nil"/>
                <w:right w:val="nil"/>
                <w:between w:val="nil"/>
              </w:pBdr>
              <w:spacing w:beforeLines="40" w:before="96" w:afterLines="40" w:after="96"/>
              <w:rPr>
                <w:rFonts w:ascii="Century Gothic" w:hAnsi="Century Gothic"/>
                <w:sz w:val="16"/>
                <w:szCs w:val="16"/>
              </w:rPr>
            </w:pPr>
            <w:r w:rsidRPr="00900E28">
              <w:rPr>
                <w:rFonts w:ascii="Century Gothic" w:hAnsi="Century Gothic"/>
                <w:sz w:val="16"/>
                <w:szCs w:val="16"/>
              </w:rPr>
              <w:t>Advanced Distribution Management System</w:t>
            </w:r>
          </w:p>
          <w:p w14:paraId="56A1AB7E" w14:textId="4AEF7080" w:rsidR="00D50FB3" w:rsidRPr="00900E28" w:rsidRDefault="00D50FB3" w:rsidP="00FF0272">
            <w:pPr>
              <w:pBdr>
                <w:top w:val="nil"/>
                <w:left w:val="nil"/>
                <w:bottom w:val="nil"/>
                <w:right w:val="nil"/>
                <w:between w:val="nil"/>
              </w:pBdr>
              <w:spacing w:beforeLines="40" w:before="96" w:afterLines="40" w:after="96"/>
              <w:rPr>
                <w:rFonts w:ascii="Century Gothic" w:hAnsi="Century Gothic"/>
                <w:sz w:val="16"/>
                <w:szCs w:val="16"/>
              </w:rPr>
            </w:pPr>
            <w:r w:rsidRPr="00900E28">
              <w:rPr>
                <w:rFonts w:ascii="Century Gothic" w:hAnsi="Century Gothic"/>
                <w:sz w:val="16"/>
                <w:szCs w:val="16"/>
              </w:rPr>
              <w:t>Advanced Metering Infrastructure</w:t>
            </w:r>
          </w:p>
          <w:p w14:paraId="747B14E9" w14:textId="6C590690" w:rsidR="00C72842" w:rsidRPr="00900E28" w:rsidRDefault="006E13C3" w:rsidP="00FF0272">
            <w:pPr>
              <w:pBdr>
                <w:top w:val="nil"/>
                <w:left w:val="nil"/>
                <w:bottom w:val="nil"/>
                <w:right w:val="nil"/>
                <w:between w:val="nil"/>
              </w:pBdr>
              <w:spacing w:beforeLines="40" w:before="96" w:afterLines="40" w:after="96"/>
              <w:rPr>
                <w:rFonts w:ascii="Century Gothic" w:hAnsi="Century Gothic"/>
                <w:sz w:val="16"/>
                <w:szCs w:val="16"/>
              </w:rPr>
            </w:pPr>
            <w:r w:rsidRPr="00900E28">
              <w:rPr>
                <w:rFonts w:ascii="Century Gothic" w:hAnsi="Century Gothic"/>
                <w:sz w:val="16"/>
                <w:szCs w:val="16"/>
              </w:rPr>
              <w:t>Distributed Energy Resource Management System</w:t>
            </w:r>
          </w:p>
          <w:p w14:paraId="3ED185D0" w14:textId="275B4BE3" w:rsidR="00D50FB3" w:rsidRPr="00900E28" w:rsidRDefault="00D50FB3" w:rsidP="00FF0272">
            <w:pPr>
              <w:pBdr>
                <w:top w:val="nil"/>
                <w:left w:val="nil"/>
                <w:bottom w:val="nil"/>
                <w:right w:val="nil"/>
                <w:between w:val="nil"/>
              </w:pBdr>
              <w:spacing w:beforeLines="40" w:before="96" w:afterLines="40" w:after="96"/>
              <w:rPr>
                <w:rFonts w:ascii="Century Gothic" w:hAnsi="Century Gothic"/>
                <w:sz w:val="16"/>
                <w:szCs w:val="16"/>
              </w:rPr>
            </w:pPr>
            <w:r w:rsidRPr="00900E28">
              <w:rPr>
                <w:rFonts w:ascii="Century Gothic" w:hAnsi="Century Gothic"/>
                <w:sz w:val="16"/>
                <w:szCs w:val="16"/>
              </w:rPr>
              <w:t>Department of Fisheries, Forestry and Environment</w:t>
            </w:r>
          </w:p>
          <w:p w14:paraId="7F7A0F9E" w14:textId="798001C9" w:rsidR="008F3E49" w:rsidRPr="00900E28" w:rsidRDefault="00C82A06" w:rsidP="00FF0272">
            <w:pPr>
              <w:pBdr>
                <w:top w:val="nil"/>
                <w:left w:val="nil"/>
                <w:bottom w:val="nil"/>
                <w:right w:val="nil"/>
                <w:between w:val="nil"/>
              </w:pBdr>
              <w:spacing w:beforeLines="40" w:before="96" w:afterLines="40" w:after="96"/>
              <w:rPr>
                <w:rFonts w:ascii="Century Gothic" w:hAnsi="Century Gothic"/>
                <w:sz w:val="16"/>
                <w:szCs w:val="16"/>
              </w:rPr>
            </w:pPr>
            <w:r w:rsidRPr="00900E28">
              <w:rPr>
                <w:rFonts w:ascii="Century Gothic" w:hAnsi="Century Gothic"/>
                <w:sz w:val="16"/>
                <w:szCs w:val="16"/>
              </w:rPr>
              <w:t xml:space="preserve">Department of </w:t>
            </w:r>
            <w:r w:rsidR="00DD3643" w:rsidRPr="00900E28">
              <w:rPr>
                <w:rFonts w:ascii="Century Gothic" w:hAnsi="Century Gothic"/>
                <w:sz w:val="16"/>
                <w:szCs w:val="16"/>
              </w:rPr>
              <w:t xml:space="preserve">Mineral Resources and </w:t>
            </w:r>
            <w:r w:rsidRPr="00900E28">
              <w:rPr>
                <w:rFonts w:ascii="Century Gothic" w:hAnsi="Century Gothic"/>
                <w:sz w:val="16"/>
                <w:szCs w:val="16"/>
              </w:rPr>
              <w:t>Energy</w:t>
            </w:r>
          </w:p>
          <w:p w14:paraId="692165C1" w14:textId="34AA0BD6" w:rsidR="00537721" w:rsidRPr="00900E28" w:rsidRDefault="00FC71A6" w:rsidP="00FF0272">
            <w:pPr>
              <w:pBdr>
                <w:top w:val="nil"/>
                <w:left w:val="nil"/>
                <w:bottom w:val="nil"/>
                <w:right w:val="nil"/>
                <w:between w:val="nil"/>
              </w:pBdr>
              <w:spacing w:beforeLines="40" w:before="96" w:afterLines="40" w:after="96"/>
              <w:rPr>
                <w:rFonts w:ascii="Century Gothic" w:hAnsi="Century Gothic"/>
                <w:sz w:val="16"/>
                <w:szCs w:val="16"/>
              </w:rPr>
            </w:pPr>
            <w:r w:rsidRPr="00900E28">
              <w:rPr>
                <w:rFonts w:ascii="Century Gothic" w:hAnsi="Century Gothic"/>
                <w:sz w:val="16"/>
                <w:szCs w:val="16"/>
                <w:lang w:val="en-US"/>
              </w:rPr>
              <w:t>Dis</w:t>
            </w:r>
            <w:r w:rsidRPr="00900E28">
              <w:rPr>
                <w:rFonts w:ascii="Century Gothic" w:hAnsi="Century Gothic"/>
                <w:sz w:val="16"/>
                <w:szCs w:val="16"/>
              </w:rPr>
              <w:t>tribution System Operators</w:t>
            </w:r>
          </w:p>
          <w:p w14:paraId="1F7F0586" w14:textId="41499047" w:rsidR="00131984" w:rsidRPr="00900E28" w:rsidRDefault="00131984" w:rsidP="00FF0272">
            <w:pPr>
              <w:pBdr>
                <w:top w:val="nil"/>
                <w:left w:val="nil"/>
                <w:bottom w:val="nil"/>
                <w:right w:val="nil"/>
                <w:between w:val="nil"/>
              </w:pBdr>
              <w:spacing w:beforeLines="40" w:before="96" w:afterLines="40" w:after="96"/>
              <w:rPr>
                <w:rFonts w:ascii="Century Gothic" w:hAnsi="Century Gothic"/>
                <w:sz w:val="16"/>
                <w:szCs w:val="16"/>
              </w:rPr>
            </w:pPr>
            <w:r w:rsidRPr="00900E28">
              <w:rPr>
                <w:rFonts w:ascii="Century Gothic" w:hAnsi="Century Gothic"/>
                <w:sz w:val="16"/>
                <w:szCs w:val="16"/>
              </w:rPr>
              <w:t>Environmental Authorisation</w:t>
            </w:r>
          </w:p>
          <w:p w14:paraId="77AB2253" w14:textId="021D91E0" w:rsidR="001106B7" w:rsidRPr="00900E28" w:rsidRDefault="001106B7" w:rsidP="00FF0272">
            <w:pPr>
              <w:pBdr>
                <w:top w:val="nil"/>
                <w:left w:val="nil"/>
                <w:bottom w:val="nil"/>
                <w:right w:val="nil"/>
                <w:between w:val="nil"/>
              </w:pBdr>
              <w:spacing w:beforeLines="40" w:before="96" w:afterLines="40" w:after="96"/>
              <w:rPr>
                <w:rFonts w:ascii="Century Gothic" w:hAnsi="Century Gothic"/>
                <w:sz w:val="16"/>
                <w:szCs w:val="16"/>
              </w:rPr>
            </w:pPr>
            <w:r w:rsidRPr="00900E28">
              <w:rPr>
                <w:rFonts w:ascii="Century Gothic" w:hAnsi="Century Gothic"/>
                <w:sz w:val="16"/>
                <w:szCs w:val="16"/>
              </w:rPr>
              <w:t>Embedded Generation</w:t>
            </w:r>
          </w:p>
          <w:p w14:paraId="08B62733" w14:textId="5FBE86F5" w:rsidR="008F3E49" w:rsidRPr="00900E28" w:rsidRDefault="00C82A06" w:rsidP="00FF0272">
            <w:pPr>
              <w:pBdr>
                <w:top w:val="nil"/>
                <w:left w:val="nil"/>
                <w:bottom w:val="nil"/>
                <w:right w:val="nil"/>
                <w:between w:val="nil"/>
              </w:pBdr>
              <w:spacing w:beforeLines="40" w:before="96" w:afterLines="40" w:after="96"/>
              <w:rPr>
                <w:rFonts w:ascii="Century Gothic" w:hAnsi="Century Gothic"/>
                <w:sz w:val="16"/>
                <w:szCs w:val="16"/>
              </w:rPr>
            </w:pPr>
            <w:r w:rsidRPr="00900E28">
              <w:rPr>
                <w:rFonts w:ascii="Century Gothic" w:hAnsi="Century Gothic"/>
                <w:sz w:val="16"/>
                <w:szCs w:val="16"/>
              </w:rPr>
              <w:t>Elect</w:t>
            </w:r>
            <w:r w:rsidR="007152EE" w:rsidRPr="00900E28">
              <w:rPr>
                <w:rFonts w:ascii="Century Gothic" w:hAnsi="Century Gothic"/>
                <w:sz w:val="16"/>
                <w:szCs w:val="16"/>
              </w:rPr>
              <w:t>ricity</w:t>
            </w:r>
            <w:r w:rsidRPr="00900E28">
              <w:rPr>
                <w:rFonts w:ascii="Century Gothic" w:hAnsi="Century Gothic"/>
                <w:sz w:val="16"/>
                <w:szCs w:val="16"/>
              </w:rPr>
              <w:t xml:space="preserve"> Regulation Act</w:t>
            </w:r>
          </w:p>
          <w:p w14:paraId="2B4C4763" w14:textId="57E4F92F" w:rsidR="00E55368" w:rsidRPr="00900E28" w:rsidRDefault="00E55368" w:rsidP="00FF0272">
            <w:pPr>
              <w:pBdr>
                <w:top w:val="nil"/>
                <w:left w:val="nil"/>
                <w:bottom w:val="nil"/>
                <w:right w:val="nil"/>
                <w:between w:val="nil"/>
              </w:pBdr>
              <w:spacing w:beforeLines="40" w:before="96" w:afterLines="40" w:after="96"/>
              <w:rPr>
                <w:rFonts w:ascii="Century Gothic" w:hAnsi="Century Gothic"/>
                <w:sz w:val="16"/>
                <w:szCs w:val="16"/>
              </w:rPr>
            </w:pPr>
            <w:r w:rsidRPr="00900E28">
              <w:rPr>
                <w:rFonts w:ascii="Century Gothic" w:hAnsi="Century Gothic"/>
                <w:sz w:val="16"/>
                <w:szCs w:val="16"/>
              </w:rPr>
              <w:t>Electricity Pricing Policy</w:t>
            </w:r>
          </w:p>
          <w:p w14:paraId="7DD4566D" w14:textId="5BF0CF5E" w:rsidR="005820B9" w:rsidRPr="00900E28" w:rsidRDefault="00CD295E" w:rsidP="00FF0272">
            <w:pPr>
              <w:pBdr>
                <w:top w:val="nil"/>
                <w:left w:val="nil"/>
                <w:bottom w:val="nil"/>
                <w:right w:val="nil"/>
                <w:between w:val="nil"/>
              </w:pBdr>
              <w:spacing w:beforeLines="40" w:before="96" w:afterLines="40" w:after="96"/>
              <w:rPr>
                <w:rFonts w:ascii="Century Gothic" w:hAnsi="Century Gothic"/>
                <w:sz w:val="16"/>
                <w:szCs w:val="16"/>
              </w:rPr>
            </w:pPr>
            <w:r w:rsidRPr="00900E28">
              <w:rPr>
                <w:rFonts w:ascii="Century Gothic" w:hAnsi="Century Gothic"/>
                <w:sz w:val="16"/>
                <w:szCs w:val="16"/>
                <w:lang w:val="en-US"/>
              </w:rPr>
              <w:t>Just Energy Transition Partnership</w:t>
            </w:r>
          </w:p>
          <w:p w14:paraId="73813B6E" w14:textId="0D66A079" w:rsidR="00D31B95" w:rsidRPr="00900E28" w:rsidRDefault="00D31B95" w:rsidP="00FF0272">
            <w:pPr>
              <w:pBdr>
                <w:top w:val="nil"/>
                <w:left w:val="nil"/>
                <w:bottom w:val="nil"/>
                <w:right w:val="nil"/>
                <w:between w:val="nil"/>
              </w:pBdr>
              <w:spacing w:beforeLines="40" w:before="96" w:afterLines="40" w:after="96"/>
              <w:rPr>
                <w:rFonts w:ascii="Century Gothic" w:hAnsi="Century Gothic"/>
                <w:sz w:val="16"/>
                <w:szCs w:val="16"/>
              </w:rPr>
            </w:pPr>
            <w:r w:rsidRPr="00900E28">
              <w:rPr>
                <w:rFonts w:ascii="Century Gothic" w:hAnsi="Century Gothic"/>
                <w:sz w:val="16"/>
                <w:szCs w:val="16"/>
              </w:rPr>
              <w:t>Independent Power Producer</w:t>
            </w:r>
          </w:p>
          <w:p w14:paraId="0D18F356" w14:textId="7C4AEF43" w:rsidR="001106B7" w:rsidRPr="00900E28" w:rsidRDefault="001106B7" w:rsidP="00FF0272">
            <w:pPr>
              <w:pBdr>
                <w:top w:val="nil"/>
                <w:left w:val="nil"/>
                <w:bottom w:val="nil"/>
                <w:right w:val="nil"/>
                <w:between w:val="nil"/>
              </w:pBdr>
              <w:spacing w:beforeLines="40" w:before="96" w:afterLines="40" w:after="96"/>
              <w:rPr>
                <w:rFonts w:ascii="Century Gothic" w:hAnsi="Century Gothic"/>
                <w:sz w:val="16"/>
                <w:szCs w:val="16"/>
              </w:rPr>
            </w:pPr>
            <w:r w:rsidRPr="00900E28">
              <w:rPr>
                <w:rFonts w:ascii="Century Gothic" w:hAnsi="Century Gothic"/>
                <w:sz w:val="16"/>
                <w:szCs w:val="16"/>
              </w:rPr>
              <w:t>Kilowatt</w:t>
            </w:r>
          </w:p>
          <w:p w14:paraId="673AE91E" w14:textId="768A13E9" w:rsidR="001829D9" w:rsidRPr="00900E28" w:rsidRDefault="001829D9" w:rsidP="00FF0272">
            <w:pPr>
              <w:pBdr>
                <w:top w:val="nil"/>
                <w:left w:val="nil"/>
                <w:bottom w:val="nil"/>
                <w:right w:val="nil"/>
                <w:between w:val="nil"/>
              </w:pBdr>
              <w:spacing w:beforeLines="40" w:before="96" w:afterLines="40" w:after="96"/>
              <w:rPr>
                <w:rFonts w:ascii="Century Gothic" w:hAnsi="Century Gothic"/>
                <w:sz w:val="16"/>
                <w:szCs w:val="16"/>
              </w:rPr>
            </w:pPr>
            <w:r w:rsidRPr="00900E28">
              <w:rPr>
                <w:rFonts w:ascii="Century Gothic" w:hAnsi="Century Gothic"/>
                <w:sz w:val="16"/>
                <w:szCs w:val="16"/>
              </w:rPr>
              <w:t>Kilowatt Hours</w:t>
            </w:r>
          </w:p>
          <w:p w14:paraId="132EB135" w14:textId="3B9EC79E" w:rsidR="005C0223" w:rsidRPr="00900E28" w:rsidRDefault="005C0223" w:rsidP="00FF0272">
            <w:pPr>
              <w:pBdr>
                <w:top w:val="nil"/>
                <w:left w:val="nil"/>
                <w:bottom w:val="nil"/>
                <w:right w:val="nil"/>
                <w:between w:val="nil"/>
              </w:pBdr>
              <w:spacing w:beforeLines="40" w:before="96" w:afterLines="40" w:after="96"/>
              <w:rPr>
                <w:rFonts w:ascii="Century Gothic" w:hAnsi="Century Gothic"/>
                <w:sz w:val="16"/>
                <w:szCs w:val="16"/>
              </w:rPr>
            </w:pPr>
            <w:r w:rsidRPr="00900E28">
              <w:rPr>
                <w:rFonts w:ascii="Century Gothic" w:hAnsi="Century Gothic"/>
                <w:sz w:val="16"/>
                <w:szCs w:val="16"/>
              </w:rPr>
              <w:t>Meter Data Management System</w:t>
            </w:r>
          </w:p>
          <w:p w14:paraId="67792A23" w14:textId="00BDC1A0" w:rsidR="00C26AB0" w:rsidRPr="00900E28" w:rsidRDefault="00C26AB0" w:rsidP="00FF0272">
            <w:pPr>
              <w:pBdr>
                <w:top w:val="nil"/>
                <w:left w:val="nil"/>
                <w:bottom w:val="nil"/>
                <w:right w:val="nil"/>
                <w:between w:val="nil"/>
              </w:pBdr>
              <w:spacing w:beforeLines="40" w:before="96" w:afterLines="40" w:after="96"/>
              <w:rPr>
                <w:rFonts w:ascii="Century Gothic" w:hAnsi="Century Gothic"/>
                <w:sz w:val="16"/>
                <w:szCs w:val="16"/>
              </w:rPr>
            </w:pPr>
            <w:r w:rsidRPr="00900E28">
              <w:rPr>
                <w:rFonts w:ascii="Century Gothic" w:hAnsi="Century Gothic"/>
                <w:sz w:val="16"/>
                <w:szCs w:val="16"/>
              </w:rPr>
              <w:t>Municipal Finance Management Act</w:t>
            </w:r>
          </w:p>
          <w:p w14:paraId="3A91A231" w14:textId="4332E958" w:rsidR="001106B7" w:rsidRPr="00900E28" w:rsidRDefault="001106B7" w:rsidP="00FF0272">
            <w:pPr>
              <w:pBdr>
                <w:top w:val="nil"/>
                <w:left w:val="nil"/>
                <w:bottom w:val="nil"/>
                <w:right w:val="nil"/>
                <w:between w:val="nil"/>
              </w:pBdr>
              <w:spacing w:beforeLines="40" w:before="96" w:afterLines="40" w:after="96"/>
              <w:rPr>
                <w:rFonts w:ascii="Century Gothic" w:hAnsi="Century Gothic"/>
                <w:sz w:val="16"/>
                <w:szCs w:val="16"/>
              </w:rPr>
            </w:pPr>
            <w:r w:rsidRPr="00900E28">
              <w:rPr>
                <w:rFonts w:ascii="Century Gothic" w:hAnsi="Century Gothic"/>
                <w:sz w:val="16"/>
                <w:szCs w:val="16"/>
              </w:rPr>
              <w:t>Megawatt</w:t>
            </w:r>
          </w:p>
          <w:p w14:paraId="2150AE66" w14:textId="0B23A030" w:rsidR="001829D9" w:rsidRPr="00900E28" w:rsidRDefault="001829D9" w:rsidP="00FF0272">
            <w:pPr>
              <w:pBdr>
                <w:top w:val="nil"/>
                <w:left w:val="nil"/>
                <w:bottom w:val="nil"/>
                <w:right w:val="nil"/>
                <w:between w:val="nil"/>
              </w:pBdr>
              <w:spacing w:beforeLines="40" w:before="96" w:afterLines="40" w:after="96"/>
              <w:rPr>
                <w:rFonts w:ascii="Century Gothic" w:hAnsi="Century Gothic"/>
                <w:sz w:val="16"/>
                <w:szCs w:val="16"/>
              </w:rPr>
            </w:pPr>
            <w:r w:rsidRPr="00900E28">
              <w:rPr>
                <w:rFonts w:ascii="Century Gothic" w:hAnsi="Century Gothic"/>
                <w:sz w:val="16"/>
                <w:szCs w:val="16"/>
              </w:rPr>
              <w:t>Megawatt Hours</w:t>
            </w:r>
          </w:p>
          <w:p w14:paraId="60031E09" w14:textId="77777777" w:rsidR="008F3E49" w:rsidRPr="00900E28" w:rsidRDefault="00C82A06" w:rsidP="00FF0272">
            <w:pPr>
              <w:pBdr>
                <w:top w:val="nil"/>
                <w:left w:val="nil"/>
                <w:bottom w:val="nil"/>
                <w:right w:val="nil"/>
                <w:between w:val="nil"/>
              </w:pBdr>
              <w:spacing w:beforeLines="40" w:before="96" w:afterLines="40" w:after="96"/>
              <w:rPr>
                <w:rFonts w:ascii="Century Gothic" w:hAnsi="Century Gothic"/>
                <w:sz w:val="16"/>
                <w:szCs w:val="16"/>
              </w:rPr>
            </w:pPr>
            <w:r w:rsidRPr="00900E28">
              <w:rPr>
                <w:rFonts w:ascii="Century Gothic" w:hAnsi="Century Gothic"/>
                <w:sz w:val="16"/>
                <w:szCs w:val="16"/>
              </w:rPr>
              <w:t>National Regulatory Services</w:t>
            </w:r>
          </w:p>
          <w:p w14:paraId="7E8FF7C7" w14:textId="71051082" w:rsidR="00E55368" w:rsidRPr="00900E28" w:rsidRDefault="00E55368" w:rsidP="00FF0272">
            <w:pPr>
              <w:pBdr>
                <w:top w:val="nil"/>
                <w:left w:val="nil"/>
                <w:bottom w:val="nil"/>
                <w:right w:val="nil"/>
                <w:between w:val="nil"/>
              </w:pBdr>
              <w:spacing w:beforeLines="40" w:before="96" w:afterLines="40" w:after="96"/>
              <w:rPr>
                <w:rFonts w:ascii="Century Gothic" w:hAnsi="Century Gothic"/>
                <w:sz w:val="16"/>
                <w:szCs w:val="16"/>
              </w:rPr>
            </w:pPr>
            <w:r w:rsidRPr="00900E28">
              <w:rPr>
                <w:rFonts w:ascii="Century Gothic" w:hAnsi="Century Gothic"/>
                <w:sz w:val="16"/>
                <w:szCs w:val="16"/>
              </w:rPr>
              <w:t>Network service providers</w:t>
            </w:r>
          </w:p>
          <w:p w14:paraId="72A42A57" w14:textId="71DE7734" w:rsidR="008F3E49" w:rsidRPr="00900E28" w:rsidRDefault="00C82A06" w:rsidP="00FF0272">
            <w:pPr>
              <w:pBdr>
                <w:top w:val="nil"/>
                <w:left w:val="nil"/>
                <w:bottom w:val="nil"/>
                <w:right w:val="nil"/>
                <w:between w:val="nil"/>
              </w:pBdr>
              <w:spacing w:beforeLines="40" w:before="96" w:afterLines="40" w:after="96"/>
              <w:rPr>
                <w:rFonts w:ascii="Century Gothic" w:hAnsi="Century Gothic"/>
                <w:sz w:val="16"/>
                <w:szCs w:val="16"/>
              </w:rPr>
            </w:pPr>
            <w:r w:rsidRPr="00900E28">
              <w:rPr>
                <w:rFonts w:ascii="Century Gothic" w:hAnsi="Century Gothic"/>
                <w:sz w:val="16"/>
                <w:szCs w:val="16"/>
              </w:rPr>
              <w:t>National Energy Regulator of South Africa</w:t>
            </w:r>
          </w:p>
          <w:p w14:paraId="3F7D7A85" w14:textId="2973AC69" w:rsidR="00A8712B" w:rsidRPr="00900E28" w:rsidRDefault="00891942" w:rsidP="00FF0272">
            <w:pPr>
              <w:pBdr>
                <w:top w:val="nil"/>
                <w:left w:val="nil"/>
                <w:bottom w:val="nil"/>
                <w:right w:val="nil"/>
                <w:between w:val="nil"/>
              </w:pBdr>
              <w:spacing w:beforeLines="40" w:before="96" w:afterLines="40" w:after="96"/>
              <w:rPr>
                <w:rFonts w:ascii="Century Gothic" w:hAnsi="Century Gothic"/>
                <w:sz w:val="16"/>
                <w:szCs w:val="16"/>
              </w:rPr>
            </w:pPr>
            <w:r w:rsidRPr="00900E28">
              <w:rPr>
                <w:rFonts w:ascii="Century Gothic" w:hAnsi="Century Gothic"/>
                <w:sz w:val="16"/>
                <w:szCs w:val="16"/>
                <w:lang w:val="en-US"/>
              </w:rPr>
              <w:t>Power Purchase Agreement</w:t>
            </w:r>
          </w:p>
          <w:p w14:paraId="29477A36" w14:textId="2BA75674" w:rsidR="00BC4677" w:rsidRPr="00900E28" w:rsidRDefault="00433DC8" w:rsidP="00FF0272">
            <w:pPr>
              <w:pBdr>
                <w:top w:val="nil"/>
                <w:left w:val="nil"/>
                <w:bottom w:val="nil"/>
                <w:right w:val="nil"/>
                <w:between w:val="nil"/>
              </w:pBdr>
              <w:spacing w:beforeLines="40" w:before="96" w:afterLines="40" w:after="96"/>
              <w:rPr>
                <w:rFonts w:ascii="Century Gothic" w:hAnsi="Century Gothic"/>
                <w:sz w:val="16"/>
                <w:szCs w:val="16"/>
              </w:rPr>
            </w:pPr>
            <w:r w:rsidRPr="00900E28">
              <w:rPr>
                <w:rFonts w:ascii="Century Gothic" w:hAnsi="Century Gothic"/>
                <w:sz w:val="16"/>
                <w:szCs w:val="16"/>
                <w:lang w:val="en-US"/>
              </w:rPr>
              <w:t>Re</w:t>
            </w:r>
            <w:r w:rsidRPr="00900E28">
              <w:rPr>
                <w:rFonts w:ascii="Century Gothic" w:hAnsi="Century Gothic"/>
                <w:sz w:val="16"/>
                <w:szCs w:val="16"/>
              </w:rPr>
              <w:t>newable energy certificates</w:t>
            </w:r>
          </w:p>
          <w:p w14:paraId="43F59D08" w14:textId="288932C7" w:rsidR="00BD31A9" w:rsidRPr="00900E28" w:rsidRDefault="007D71E1" w:rsidP="00FF0272">
            <w:pPr>
              <w:pBdr>
                <w:top w:val="nil"/>
                <w:left w:val="nil"/>
                <w:bottom w:val="nil"/>
                <w:right w:val="nil"/>
                <w:between w:val="nil"/>
              </w:pBdr>
              <w:spacing w:beforeLines="40" w:before="96" w:afterLines="40" w:after="96"/>
              <w:rPr>
                <w:rFonts w:ascii="Century Gothic" w:hAnsi="Century Gothic"/>
                <w:sz w:val="16"/>
                <w:szCs w:val="16"/>
              </w:rPr>
            </w:pPr>
            <w:r w:rsidRPr="00900E28">
              <w:rPr>
                <w:rFonts w:ascii="Century Gothic" w:hAnsi="Century Gothic"/>
                <w:sz w:val="16"/>
                <w:szCs w:val="16"/>
                <w:lang w:val="en-US"/>
              </w:rPr>
              <w:t xml:space="preserve">Renewable energy Independent Power Producer </w:t>
            </w:r>
            <w:r w:rsidRPr="00900E28">
              <w:rPr>
                <w:rFonts w:ascii="Century Gothic" w:hAnsi="Century Gothic"/>
                <w:sz w:val="16"/>
                <w:szCs w:val="16"/>
              </w:rPr>
              <w:t>Programme</w:t>
            </w:r>
          </w:p>
          <w:p w14:paraId="1EF93B1A" w14:textId="55589FC1" w:rsidR="008F3E49" w:rsidRPr="00900E28" w:rsidRDefault="00C82A06" w:rsidP="00FF0272">
            <w:pPr>
              <w:pBdr>
                <w:top w:val="nil"/>
                <w:left w:val="nil"/>
                <w:bottom w:val="nil"/>
                <w:right w:val="nil"/>
                <w:between w:val="nil"/>
              </w:pBdr>
              <w:spacing w:beforeLines="40" w:before="96" w:afterLines="40" w:after="96"/>
              <w:rPr>
                <w:rFonts w:ascii="Century Gothic" w:hAnsi="Century Gothic"/>
                <w:sz w:val="16"/>
                <w:szCs w:val="16"/>
              </w:rPr>
            </w:pPr>
            <w:r w:rsidRPr="00900E28">
              <w:rPr>
                <w:rFonts w:ascii="Century Gothic" w:hAnsi="Century Gothic"/>
                <w:sz w:val="16"/>
                <w:szCs w:val="16"/>
              </w:rPr>
              <w:t>South African National Standard</w:t>
            </w:r>
          </w:p>
          <w:p w14:paraId="7E19E67E" w14:textId="28B55102" w:rsidR="009C751E" w:rsidRPr="00900E28" w:rsidRDefault="009C751E" w:rsidP="00FF0272">
            <w:pPr>
              <w:pBdr>
                <w:top w:val="nil"/>
                <w:left w:val="nil"/>
                <w:bottom w:val="nil"/>
                <w:right w:val="nil"/>
                <w:between w:val="nil"/>
              </w:pBdr>
              <w:spacing w:beforeLines="40" w:before="96" w:afterLines="40" w:after="96"/>
              <w:rPr>
                <w:rFonts w:ascii="Century Gothic" w:hAnsi="Century Gothic"/>
                <w:sz w:val="16"/>
                <w:szCs w:val="16"/>
              </w:rPr>
            </w:pPr>
            <w:r w:rsidRPr="00900E28">
              <w:rPr>
                <w:rFonts w:ascii="Century Gothic" w:hAnsi="Century Gothic"/>
                <w:sz w:val="16"/>
                <w:szCs w:val="16"/>
              </w:rPr>
              <w:t>Sustainable Energy Africa</w:t>
            </w:r>
          </w:p>
          <w:p w14:paraId="1BA30D80" w14:textId="77777777" w:rsidR="008F3E49" w:rsidRPr="00900E28" w:rsidRDefault="00C82A06" w:rsidP="00FF0272">
            <w:pPr>
              <w:pBdr>
                <w:top w:val="nil"/>
                <w:left w:val="nil"/>
                <w:bottom w:val="nil"/>
                <w:right w:val="nil"/>
                <w:between w:val="nil"/>
              </w:pBdr>
              <w:spacing w:beforeLines="40" w:before="96" w:afterLines="40" w:after="96"/>
              <w:rPr>
                <w:rFonts w:ascii="Century Gothic" w:hAnsi="Century Gothic"/>
                <w:sz w:val="16"/>
                <w:szCs w:val="16"/>
              </w:rPr>
            </w:pPr>
            <w:r w:rsidRPr="00900E28">
              <w:rPr>
                <w:rFonts w:ascii="Century Gothic" w:hAnsi="Century Gothic"/>
                <w:sz w:val="16"/>
                <w:szCs w:val="16"/>
              </w:rPr>
              <w:t>Small Scale Embedded Generator</w:t>
            </w:r>
          </w:p>
          <w:p w14:paraId="61634C41" w14:textId="45C62495" w:rsidR="00BB7111" w:rsidRPr="00900E28" w:rsidRDefault="00A715BC" w:rsidP="00FF0272">
            <w:pPr>
              <w:pBdr>
                <w:top w:val="nil"/>
                <w:left w:val="nil"/>
                <w:bottom w:val="nil"/>
                <w:right w:val="nil"/>
                <w:between w:val="nil"/>
              </w:pBdr>
              <w:spacing w:beforeLines="40" w:before="96" w:afterLines="40" w:after="96"/>
              <w:rPr>
                <w:rFonts w:ascii="Century Gothic" w:hAnsi="Century Gothic"/>
                <w:sz w:val="16"/>
                <w:szCs w:val="16"/>
                <w:lang w:val="en-US"/>
              </w:rPr>
            </w:pPr>
            <w:r w:rsidRPr="00900E28">
              <w:rPr>
                <w:rFonts w:ascii="Century Gothic" w:hAnsi="Century Gothic"/>
                <w:sz w:val="16"/>
                <w:szCs w:val="16"/>
                <w:lang w:val="en-US"/>
              </w:rPr>
              <w:t>Transmission Systems Operator</w:t>
            </w:r>
          </w:p>
          <w:p w14:paraId="3922D602" w14:textId="0878EEE9" w:rsidR="00F432A0" w:rsidRPr="00900E28" w:rsidRDefault="00F432A0" w:rsidP="00FF0272">
            <w:pPr>
              <w:pBdr>
                <w:top w:val="nil"/>
                <w:left w:val="nil"/>
                <w:bottom w:val="nil"/>
                <w:right w:val="nil"/>
                <w:between w:val="nil"/>
              </w:pBdr>
              <w:spacing w:beforeLines="40" w:before="96" w:afterLines="40" w:after="96"/>
              <w:rPr>
                <w:rFonts w:ascii="Century Gothic" w:hAnsi="Century Gothic"/>
                <w:sz w:val="16"/>
                <w:szCs w:val="16"/>
              </w:rPr>
            </w:pPr>
            <w:r w:rsidRPr="00900E28">
              <w:rPr>
                <w:rFonts w:ascii="Century Gothic" w:hAnsi="Century Gothic"/>
                <w:sz w:val="16"/>
                <w:szCs w:val="16"/>
                <w:lang w:val="en-US"/>
              </w:rPr>
              <w:t>Time of Use</w:t>
            </w:r>
          </w:p>
          <w:p w14:paraId="3ACDEFED" w14:textId="77777777" w:rsidR="00D50FB3" w:rsidRPr="00900E28" w:rsidRDefault="00D50FB3" w:rsidP="00FF0272">
            <w:pPr>
              <w:pBdr>
                <w:top w:val="nil"/>
                <w:left w:val="nil"/>
                <w:bottom w:val="nil"/>
                <w:right w:val="nil"/>
                <w:between w:val="nil"/>
              </w:pBdr>
              <w:spacing w:beforeLines="40" w:before="96" w:afterLines="40" w:after="96"/>
              <w:rPr>
                <w:rFonts w:ascii="Century Gothic" w:hAnsi="Century Gothic"/>
                <w:sz w:val="16"/>
                <w:szCs w:val="16"/>
              </w:rPr>
            </w:pPr>
            <w:r w:rsidRPr="00900E28">
              <w:rPr>
                <w:rFonts w:ascii="Century Gothic" w:hAnsi="Century Gothic"/>
                <w:sz w:val="16"/>
                <w:szCs w:val="16"/>
              </w:rPr>
              <w:t>Use of System</w:t>
            </w:r>
          </w:p>
          <w:p w14:paraId="0B2E6F39" w14:textId="77777777" w:rsidR="008F3E49" w:rsidRPr="00900E28" w:rsidRDefault="00D50FB3" w:rsidP="00FF0272">
            <w:pPr>
              <w:pBdr>
                <w:top w:val="nil"/>
                <w:left w:val="nil"/>
                <w:bottom w:val="nil"/>
                <w:right w:val="nil"/>
                <w:between w:val="nil"/>
              </w:pBdr>
              <w:spacing w:beforeLines="40" w:before="96" w:afterLines="40" w:after="96"/>
              <w:rPr>
                <w:rFonts w:ascii="Century Gothic" w:hAnsi="Century Gothic"/>
                <w:sz w:val="16"/>
                <w:szCs w:val="16"/>
              </w:rPr>
            </w:pPr>
            <w:r w:rsidRPr="00900E28">
              <w:rPr>
                <w:rFonts w:ascii="Century Gothic" w:hAnsi="Century Gothic"/>
                <w:sz w:val="16"/>
                <w:szCs w:val="16"/>
              </w:rPr>
              <w:t>Wholesale Energy Pricing Structure</w:t>
            </w:r>
          </w:p>
          <w:p w14:paraId="5A5D12B6" w14:textId="5AD1D414" w:rsidR="00F14FB5" w:rsidRPr="00900E28" w:rsidRDefault="00F14FB5" w:rsidP="00FF0272">
            <w:pPr>
              <w:pBdr>
                <w:top w:val="nil"/>
                <w:left w:val="nil"/>
                <w:bottom w:val="nil"/>
                <w:right w:val="nil"/>
                <w:between w:val="nil"/>
              </w:pBdr>
              <w:spacing w:beforeLines="40" w:before="96" w:afterLines="40" w:after="96"/>
              <w:rPr>
                <w:rFonts w:ascii="Century Gothic" w:hAnsi="Century Gothic"/>
                <w:sz w:val="16"/>
                <w:szCs w:val="16"/>
              </w:rPr>
            </w:pPr>
            <w:proofErr w:type="spellStart"/>
            <w:r w:rsidRPr="00900E28">
              <w:rPr>
                <w:rFonts w:ascii="Century Gothic" w:hAnsi="Century Gothic"/>
                <w:sz w:val="16"/>
                <w:szCs w:val="16"/>
              </w:rPr>
              <w:t>xxxx</w:t>
            </w:r>
            <w:proofErr w:type="spellEnd"/>
          </w:p>
        </w:tc>
      </w:tr>
    </w:tbl>
    <w:p w14:paraId="117D389A" w14:textId="473334FF" w:rsidR="008F3E49" w:rsidRPr="003D7CB7" w:rsidRDefault="00C82A06" w:rsidP="003D7CB7">
      <w:pPr>
        <w:pStyle w:val="Heading1"/>
        <w:spacing w:beforeLines="40" w:before="96" w:afterLines="40" w:after="96" w:line="240" w:lineRule="auto"/>
      </w:pPr>
      <w:bookmarkStart w:id="8" w:name="_Toc145484190"/>
      <w:r w:rsidRPr="00583237">
        <w:rPr>
          <w:bCs/>
        </w:rPr>
        <w:lastRenderedPageBreak/>
        <w:t xml:space="preserve">List of </w:t>
      </w:r>
      <w:r w:rsidR="000D03C2">
        <w:rPr>
          <w:bCs/>
        </w:rPr>
        <w:t>D</w:t>
      </w:r>
      <w:r w:rsidRPr="00583237">
        <w:rPr>
          <w:bCs/>
        </w:rPr>
        <w:t>efinitions</w:t>
      </w:r>
      <w:bookmarkEnd w:id="8"/>
    </w:p>
    <w:p w14:paraId="246E59B3" w14:textId="433251D4" w:rsidR="001E388B" w:rsidRPr="009E6220" w:rsidRDefault="001E388B" w:rsidP="001E388B">
      <w:pPr>
        <w:shd w:val="clear" w:color="auto" w:fill="F2F2F2" w:themeFill="background1" w:themeFillShade="F2"/>
        <w:spacing w:beforeLines="40" w:before="96" w:afterLines="40" w:after="96" w:line="240" w:lineRule="auto"/>
        <w:rPr>
          <w:rFonts w:ascii="Century Gothic" w:hAnsi="Century Gothic"/>
          <w:b/>
          <w:bCs/>
          <w:i/>
          <w:iCs/>
          <w:u w:val="single"/>
        </w:rPr>
      </w:pPr>
      <w:r w:rsidRPr="009E6220">
        <w:rPr>
          <w:rFonts w:ascii="Segoe UI Emoji" w:hAnsi="Segoe UI Emoji" w:cs="Segoe UI Emoji"/>
        </w:rPr>
        <w:t>🔍</w:t>
      </w:r>
      <w:r w:rsidRPr="009E6220">
        <w:rPr>
          <w:rFonts w:ascii="Century Gothic" w:hAnsi="Century Gothic"/>
          <w:b/>
          <w:bCs/>
          <w:u w:val="single"/>
        </w:rPr>
        <w:t xml:space="preserve"> </w:t>
      </w:r>
      <w:r w:rsidRPr="009E6220">
        <w:rPr>
          <w:rFonts w:ascii="Century Gothic" w:hAnsi="Century Gothic"/>
          <w:b/>
          <w:bCs/>
          <w:i/>
          <w:iCs/>
          <w:u w:val="single"/>
        </w:rPr>
        <w:t xml:space="preserve">Explanatory notes: </w:t>
      </w:r>
    </w:p>
    <w:p w14:paraId="58D4ECBA" w14:textId="50F08661" w:rsidR="001E388B" w:rsidRPr="009E6220" w:rsidRDefault="001E388B" w:rsidP="001E388B">
      <w:pPr>
        <w:shd w:val="clear" w:color="auto" w:fill="F2F2F2" w:themeFill="background1" w:themeFillShade="F2"/>
        <w:spacing w:beforeLines="40" w:before="96" w:afterLines="40" w:after="96" w:line="240" w:lineRule="auto"/>
        <w:rPr>
          <w:rFonts w:ascii="Century Gothic" w:hAnsi="Century Gothic"/>
          <w:bCs/>
          <w:i/>
          <w:iCs/>
          <w:color w:val="222222"/>
        </w:rPr>
      </w:pPr>
      <w:r w:rsidRPr="009E6220">
        <w:rPr>
          <w:rFonts w:ascii="Century Gothic" w:hAnsi="Century Gothic"/>
          <w:bCs/>
          <w:i/>
          <w:iCs/>
          <w:color w:val="222222"/>
        </w:rPr>
        <w:t>Including a list of definitions in a document serves important purposes:</w:t>
      </w:r>
    </w:p>
    <w:p w14:paraId="0C4AF1DA" w14:textId="0B4E5C68" w:rsidR="001E388B" w:rsidRPr="009E6220" w:rsidRDefault="001E388B" w:rsidP="00871EE8">
      <w:pPr>
        <w:pStyle w:val="ListParagraph"/>
        <w:numPr>
          <w:ilvl w:val="0"/>
          <w:numId w:val="23"/>
        </w:numPr>
        <w:shd w:val="clear" w:color="auto" w:fill="F2F2F2" w:themeFill="background1" w:themeFillShade="F2"/>
        <w:spacing w:before="120" w:line="240" w:lineRule="auto"/>
        <w:contextualSpacing w:val="0"/>
        <w:rPr>
          <w:rFonts w:ascii="Century Gothic" w:hAnsi="Century Gothic"/>
          <w:i/>
          <w:iCs/>
        </w:rPr>
      </w:pPr>
      <w:r w:rsidRPr="009E6220">
        <w:rPr>
          <w:rFonts w:ascii="Century Gothic" w:hAnsi="Century Gothic"/>
          <w:i/>
          <w:iCs/>
        </w:rPr>
        <w:t>Clarification: Definitions ensure a shared understanding of terms, eliminating confusion.</w:t>
      </w:r>
    </w:p>
    <w:p w14:paraId="7FF27BCF" w14:textId="183F50B6" w:rsidR="001E388B" w:rsidRPr="009E6220" w:rsidRDefault="001E388B" w:rsidP="00871EE8">
      <w:pPr>
        <w:pStyle w:val="ListParagraph"/>
        <w:numPr>
          <w:ilvl w:val="0"/>
          <w:numId w:val="23"/>
        </w:numPr>
        <w:shd w:val="clear" w:color="auto" w:fill="F2F2F2" w:themeFill="background1" w:themeFillShade="F2"/>
        <w:spacing w:before="120" w:line="240" w:lineRule="auto"/>
        <w:contextualSpacing w:val="0"/>
        <w:rPr>
          <w:rFonts w:ascii="Century Gothic" w:hAnsi="Century Gothic"/>
          <w:i/>
          <w:iCs/>
        </w:rPr>
      </w:pPr>
      <w:r w:rsidRPr="009E6220">
        <w:rPr>
          <w:rFonts w:ascii="Century Gothic" w:hAnsi="Century Gothic"/>
          <w:i/>
          <w:iCs/>
        </w:rPr>
        <w:t>Standardization: Consistent language usage is promoted throughout the document.</w:t>
      </w:r>
    </w:p>
    <w:p w14:paraId="4134EEBC" w14:textId="39EC46A6" w:rsidR="001E388B" w:rsidRPr="009E6220" w:rsidRDefault="001E388B" w:rsidP="00871EE8">
      <w:pPr>
        <w:pStyle w:val="ListParagraph"/>
        <w:numPr>
          <w:ilvl w:val="0"/>
          <w:numId w:val="23"/>
        </w:numPr>
        <w:shd w:val="clear" w:color="auto" w:fill="F2F2F2" w:themeFill="background1" w:themeFillShade="F2"/>
        <w:spacing w:before="120" w:line="240" w:lineRule="auto"/>
        <w:contextualSpacing w:val="0"/>
        <w:rPr>
          <w:rFonts w:ascii="Century Gothic" w:hAnsi="Century Gothic"/>
          <w:i/>
          <w:iCs/>
        </w:rPr>
      </w:pPr>
      <w:r w:rsidRPr="009E6220">
        <w:rPr>
          <w:rFonts w:ascii="Century Gothic" w:hAnsi="Century Gothic"/>
          <w:i/>
          <w:iCs/>
        </w:rPr>
        <w:t>Accessibility: Readers can quickly reference and grasp the meaning of key terms.</w:t>
      </w:r>
    </w:p>
    <w:p w14:paraId="68D1747F" w14:textId="641DFDA9" w:rsidR="001E388B" w:rsidRPr="009E6220" w:rsidRDefault="001E388B" w:rsidP="00871EE8">
      <w:pPr>
        <w:pStyle w:val="ListParagraph"/>
        <w:numPr>
          <w:ilvl w:val="0"/>
          <w:numId w:val="23"/>
        </w:numPr>
        <w:shd w:val="clear" w:color="auto" w:fill="F2F2F2" w:themeFill="background1" w:themeFillShade="F2"/>
        <w:spacing w:before="120" w:line="240" w:lineRule="auto"/>
        <w:contextualSpacing w:val="0"/>
        <w:rPr>
          <w:rFonts w:ascii="Century Gothic" w:hAnsi="Century Gothic"/>
          <w:i/>
          <w:iCs/>
        </w:rPr>
      </w:pPr>
      <w:r w:rsidRPr="009E6220">
        <w:rPr>
          <w:rFonts w:ascii="Century Gothic" w:hAnsi="Century Gothic"/>
          <w:i/>
          <w:iCs/>
        </w:rPr>
        <w:t>Contextualization: Definitions provide background information for better comprehension.</w:t>
      </w:r>
    </w:p>
    <w:p w14:paraId="2EC61CA7" w14:textId="3E3A36C6" w:rsidR="001E388B" w:rsidRPr="009E6220" w:rsidRDefault="001E388B" w:rsidP="00871EE8">
      <w:pPr>
        <w:pStyle w:val="ListParagraph"/>
        <w:numPr>
          <w:ilvl w:val="0"/>
          <w:numId w:val="23"/>
        </w:numPr>
        <w:shd w:val="clear" w:color="auto" w:fill="F2F2F2" w:themeFill="background1" w:themeFillShade="F2"/>
        <w:spacing w:before="120" w:line="240" w:lineRule="auto"/>
        <w:contextualSpacing w:val="0"/>
        <w:rPr>
          <w:rFonts w:ascii="Century Gothic" w:hAnsi="Century Gothic"/>
          <w:i/>
          <w:iCs/>
        </w:rPr>
      </w:pPr>
      <w:r w:rsidRPr="009E6220">
        <w:rPr>
          <w:rFonts w:ascii="Century Gothic" w:hAnsi="Century Gothic"/>
          <w:i/>
          <w:iCs/>
        </w:rPr>
        <w:t>Precision and accuracy: Clear definitions prevent misunderstandings.</w:t>
      </w:r>
    </w:p>
    <w:p w14:paraId="778B86B2" w14:textId="6F985146" w:rsidR="001E388B" w:rsidRPr="009E6220" w:rsidRDefault="001E388B" w:rsidP="00871EE8">
      <w:pPr>
        <w:pStyle w:val="ListParagraph"/>
        <w:numPr>
          <w:ilvl w:val="0"/>
          <w:numId w:val="23"/>
        </w:numPr>
        <w:shd w:val="clear" w:color="auto" w:fill="F2F2F2" w:themeFill="background1" w:themeFillShade="F2"/>
        <w:spacing w:before="120" w:line="240" w:lineRule="auto"/>
        <w:contextualSpacing w:val="0"/>
        <w:rPr>
          <w:rFonts w:ascii="Century Gothic" w:hAnsi="Century Gothic"/>
          <w:i/>
          <w:iCs/>
        </w:rPr>
      </w:pPr>
      <w:r w:rsidRPr="009E6220">
        <w:rPr>
          <w:rFonts w:ascii="Century Gothic" w:hAnsi="Century Gothic"/>
          <w:i/>
          <w:iCs/>
        </w:rPr>
        <w:t>Legal and technical requirements: Some industries may mandate definitions for compliance.</w:t>
      </w:r>
    </w:p>
    <w:p w14:paraId="53000FC5" w14:textId="3EBB6116" w:rsidR="001E388B" w:rsidRPr="001E388B" w:rsidRDefault="001E388B" w:rsidP="001E388B">
      <w:pPr>
        <w:shd w:val="clear" w:color="auto" w:fill="F2F2F2" w:themeFill="background1" w:themeFillShade="F2"/>
        <w:spacing w:beforeLines="40" w:before="96" w:afterLines="40" w:after="96" w:line="240" w:lineRule="auto"/>
        <w:rPr>
          <w:rFonts w:ascii="Century Gothic" w:hAnsi="Century Gothic"/>
          <w:bCs/>
          <w:i/>
          <w:iCs/>
          <w:color w:val="222222"/>
        </w:rPr>
      </w:pPr>
      <w:r w:rsidRPr="009E6220">
        <w:rPr>
          <w:rFonts w:ascii="Century Gothic" w:hAnsi="Century Gothic"/>
          <w:bCs/>
          <w:i/>
          <w:iCs/>
          <w:color w:val="222222"/>
        </w:rPr>
        <w:t>A list of definitions enhances a document's readability, comprehension, and communication among readers and stakeholders.</w:t>
      </w:r>
    </w:p>
    <w:p w14:paraId="2E4BC854" w14:textId="77777777" w:rsidR="001E388B" w:rsidRDefault="001E388B" w:rsidP="00FF0272">
      <w:pPr>
        <w:shd w:val="clear" w:color="auto" w:fill="FFFFFF"/>
        <w:spacing w:beforeLines="40" w:before="96" w:afterLines="40" w:after="96" w:line="240" w:lineRule="auto"/>
        <w:rPr>
          <w:rFonts w:ascii="Century Gothic" w:hAnsi="Century Gothic"/>
          <w:b/>
          <w:color w:val="222222"/>
        </w:rPr>
      </w:pPr>
    </w:p>
    <w:p w14:paraId="0901E95D" w14:textId="5A7220F4" w:rsidR="001E388B" w:rsidRPr="001E388B" w:rsidRDefault="001E388B" w:rsidP="001E388B">
      <w:pPr>
        <w:rPr>
          <w:rFonts w:ascii="Century Gothic" w:hAnsi="Century Gothic"/>
          <w:b/>
          <w:bCs/>
          <w:u w:val="single"/>
        </w:rPr>
      </w:pPr>
      <w:r w:rsidRPr="00FE49F7">
        <w:rPr>
          <w:rFonts w:ascii="Segoe UI Emoji" w:hAnsi="Segoe UI Emoji" w:cs="Segoe UI Emoji"/>
          <w:b/>
          <w:bCs/>
          <w:u w:val="single"/>
        </w:rPr>
        <w:t>💡</w:t>
      </w:r>
      <w:r w:rsidRPr="00FE49F7">
        <w:rPr>
          <w:rFonts w:ascii="Century Gothic" w:hAnsi="Century Gothic"/>
          <w:b/>
          <w:bCs/>
          <w:u w:val="single"/>
        </w:rPr>
        <w:t xml:space="preserve">Illustrative example </w:t>
      </w:r>
    </w:p>
    <w:p w14:paraId="7A5E228B" w14:textId="673EB1E4" w:rsidR="00E55368" w:rsidRPr="00207460" w:rsidRDefault="00E55368" w:rsidP="00FF0272">
      <w:pPr>
        <w:shd w:val="clear" w:color="auto" w:fill="FFFFFF"/>
        <w:spacing w:beforeLines="40" w:before="96" w:afterLines="40" w:after="96" w:line="240" w:lineRule="auto"/>
        <w:rPr>
          <w:rFonts w:ascii="Century Gothic" w:hAnsi="Century Gothic"/>
          <w:color w:val="222222"/>
          <w:sz w:val="18"/>
          <w:szCs w:val="18"/>
        </w:rPr>
      </w:pPr>
      <w:r w:rsidRPr="00207460">
        <w:rPr>
          <w:rFonts w:ascii="Century Gothic" w:hAnsi="Century Gothic"/>
          <w:b/>
          <w:color w:val="222222"/>
          <w:sz w:val="18"/>
          <w:szCs w:val="18"/>
        </w:rPr>
        <w:t xml:space="preserve">Active energy charges - </w:t>
      </w:r>
      <w:r w:rsidRPr="00207460">
        <w:rPr>
          <w:rFonts w:ascii="Century Gothic" w:hAnsi="Century Gothic"/>
          <w:color w:val="222222"/>
          <w:sz w:val="18"/>
          <w:szCs w:val="18"/>
        </w:rPr>
        <w:t xml:space="preserve">The charges associated with the </w:t>
      </w:r>
      <w:r w:rsidR="00C974D6">
        <w:rPr>
          <w:rFonts w:ascii="Century Gothic" w:hAnsi="Century Gothic"/>
          <w:color w:val="222222"/>
          <w:sz w:val="18"/>
          <w:szCs w:val="18"/>
        </w:rPr>
        <w:t>consumption</w:t>
      </w:r>
      <w:r w:rsidR="00C974D6" w:rsidRPr="00207460">
        <w:rPr>
          <w:rFonts w:ascii="Century Gothic" w:hAnsi="Century Gothic"/>
          <w:color w:val="222222"/>
          <w:sz w:val="18"/>
          <w:szCs w:val="18"/>
        </w:rPr>
        <w:t xml:space="preserve"> </w:t>
      </w:r>
      <w:r w:rsidRPr="00207460">
        <w:rPr>
          <w:rFonts w:ascii="Century Gothic" w:hAnsi="Century Gothic"/>
          <w:color w:val="222222"/>
          <w:sz w:val="18"/>
          <w:szCs w:val="18"/>
        </w:rPr>
        <w:t>of electricity</w:t>
      </w:r>
    </w:p>
    <w:p w14:paraId="7083FA37" w14:textId="762BC77A" w:rsidR="00E55368" w:rsidRPr="00207460" w:rsidRDefault="00E55368" w:rsidP="00FF0272">
      <w:pPr>
        <w:shd w:val="clear" w:color="auto" w:fill="FFFFFF"/>
        <w:spacing w:beforeLines="40" w:before="96" w:afterLines="40" w:after="96" w:line="240" w:lineRule="auto"/>
        <w:rPr>
          <w:rFonts w:ascii="Century Gothic" w:hAnsi="Century Gothic"/>
          <w:b/>
          <w:color w:val="222222"/>
          <w:sz w:val="18"/>
          <w:szCs w:val="18"/>
        </w:rPr>
      </w:pPr>
      <w:r w:rsidRPr="00207460">
        <w:rPr>
          <w:rFonts w:ascii="Century Gothic" w:hAnsi="Century Gothic"/>
          <w:b/>
          <w:color w:val="222222"/>
          <w:sz w:val="18"/>
          <w:szCs w:val="18"/>
        </w:rPr>
        <w:t xml:space="preserve">Avoided Cost - </w:t>
      </w:r>
      <w:r w:rsidRPr="00207460">
        <w:rPr>
          <w:rFonts w:ascii="Century Gothic" w:hAnsi="Century Gothic"/>
          <w:color w:val="222222"/>
          <w:sz w:val="18"/>
          <w:szCs w:val="18"/>
        </w:rPr>
        <w:t>The Avoided Cost of energy means the marginal costs a utility would avoid in any given hour if a distributed electrical energy resource provided electricity instead of the utility. For Distributors at the retail level, this would be their energy purchase costs plus potentially technical losses in high load areas.</w:t>
      </w:r>
    </w:p>
    <w:p w14:paraId="08909387" w14:textId="4667FD0D" w:rsidR="00E55368" w:rsidRPr="00207460" w:rsidRDefault="00E55368" w:rsidP="00FF0272">
      <w:pPr>
        <w:shd w:val="clear" w:color="auto" w:fill="FFFFFF"/>
        <w:spacing w:beforeLines="40" w:before="96" w:afterLines="40" w:after="96" w:line="240" w:lineRule="auto"/>
        <w:rPr>
          <w:rFonts w:ascii="Century Gothic" w:hAnsi="Century Gothic"/>
          <w:b/>
          <w:color w:val="222222"/>
          <w:sz w:val="18"/>
          <w:szCs w:val="18"/>
        </w:rPr>
      </w:pPr>
      <w:r w:rsidRPr="00207460">
        <w:rPr>
          <w:rFonts w:ascii="Century Gothic" w:hAnsi="Century Gothic"/>
          <w:b/>
          <w:color w:val="222222"/>
          <w:sz w:val="18"/>
          <w:szCs w:val="18"/>
        </w:rPr>
        <w:t xml:space="preserve">Buyer - </w:t>
      </w:r>
      <w:r w:rsidRPr="00207460">
        <w:rPr>
          <w:rFonts w:ascii="Century Gothic" w:hAnsi="Century Gothic"/>
          <w:color w:val="222222"/>
          <w:sz w:val="18"/>
          <w:szCs w:val="18"/>
        </w:rPr>
        <w:t>The Buyer of the Wheeled Energy which can be a Distributor, Trader or a customer.</w:t>
      </w:r>
      <w:r w:rsidRPr="00207460">
        <w:rPr>
          <w:rFonts w:ascii="Century Gothic" w:hAnsi="Century Gothic"/>
          <w:b/>
          <w:color w:val="222222"/>
          <w:sz w:val="18"/>
          <w:szCs w:val="18"/>
        </w:rPr>
        <w:t xml:space="preserve">  </w:t>
      </w:r>
    </w:p>
    <w:p w14:paraId="135DF1C1" w14:textId="0FD16E5F" w:rsidR="00FD21E9" w:rsidRPr="00207460" w:rsidRDefault="00FD21E9" w:rsidP="00FF0272">
      <w:pPr>
        <w:shd w:val="clear" w:color="auto" w:fill="FFFFFF"/>
        <w:spacing w:beforeLines="40" w:before="96" w:afterLines="40" w:after="96" w:line="240" w:lineRule="auto"/>
        <w:rPr>
          <w:rFonts w:ascii="Century Gothic" w:hAnsi="Century Gothic"/>
          <w:color w:val="222222"/>
          <w:sz w:val="18"/>
          <w:szCs w:val="18"/>
        </w:rPr>
      </w:pPr>
      <w:r w:rsidRPr="00207460">
        <w:rPr>
          <w:rFonts w:ascii="Century Gothic" w:hAnsi="Century Gothic"/>
          <w:b/>
          <w:color w:val="222222"/>
          <w:sz w:val="18"/>
          <w:szCs w:val="18"/>
        </w:rPr>
        <w:t>Carbon emissions:</w:t>
      </w:r>
      <w:r w:rsidRPr="00207460">
        <w:rPr>
          <w:rFonts w:ascii="Century Gothic" w:hAnsi="Century Gothic"/>
          <w:color w:val="222222"/>
          <w:sz w:val="18"/>
          <w:szCs w:val="18"/>
        </w:rPr>
        <w:t xml:space="preserve"> The release of carbon dioxide and other greenhouse gases into the atmosphere, primarily from the burning of fossil fuels, which contributes to global climate change.</w:t>
      </w:r>
    </w:p>
    <w:p w14:paraId="16103BE1" w14:textId="4AA71028" w:rsidR="00FD21E9" w:rsidRPr="00207460" w:rsidRDefault="00FD21E9" w:rsidP="00FF0272">
      <w:pPr>
        <w:shd w:val="clear" w:color="auto" w:fill="FFFFFF"/>
        <w:spacing w:beforeLines="40" w:before="96" w:afterLines="40" w:after="96" w:line="240" w:lineRule="auto"/>
        <w:rPr>
          <w:rFonts w:ascii="Century Gothic" w:hAnsi="Century Gothic"/>
          <w:color w:val="222222"/>
          <w:sz w:val="18"/>
          <w:szCs w:val="18"/>
        </w:rPr>
      </w:pPr>
      <w:r w:rsidRPr="00207460">
        <w:rPr>
          <w:rFonts w:ascii="Century Gothic" w:hAnsi="Century Gothic"/>
          <w:b/>
          <w:color w:val="222222"/>
          <w:sz w:val="18"/>
          <w:szCs w:val="18"/>
        </w:rPr>
        <w:t>Cost of supply studies:</w:t>
      </w:r>
      <w:r w:rsidRPr="00207460">
        <w:rPr>
          <w:rFonts w:ascii="Century Gothic" w:hAnsi="Century Gothic"/>
          <w:color w:val="222222"/>
          <w:sz w:val="18"/>
          <w:szCs w:val="18"/>
        </w:rPr>
        <w:t xml:space="preserve"> Studies that examine the cost of producing and delivering energy to consumers, taking into account factors such as infrastructure, fuel costs, and labour.</w:t>
      </w:r>
    </w:p>
    <w:p w14:paraId="0623B410" w14:textId="49B4AA08" w:rsidR="00E55368" w:rsidRPr="00207460" w:rsidRDefault="00E55368" w:rsidP="00FF0272">
      <w:pPr>
        <w:shd w:val="clear" w:color="auto" w:fill="FFFFFF"/>
        <w:spacing w:beforeLines="40" w:before="96" w:afterLines="40" w:after="96" w:line="240" w:lineRule="auto"/>
        <w:rPr>
          <w:rFonts w:ascii="Century Gothic" w:hAnsi="Century Gothic"/>
          <w:color w:val="222222"/>
          <w:sz w:val="18"/>
          <w:szCs w:val="18"/>
        </w:rPr>
      </w:pPr>
      <w:r w:rsidRPr="00207460">
        <w:rPr>
          <w:rFonts w:ascii="Century Gothic" w:hAnsi="Century Gothic"/>
          <w:b/>
          <w:color w:val="222222"/>
          <w:sz w:val="18"/>
          <w:szCs w:val="18"/>
        </w:rPr>
        <w:t>Customer -</w:t>
      </w:r>
      <w:r w:rsidRPr="00207460">
        <w:rPr>
          <w:rFonts w:ascii="Century Gothic" w:hAnsi="Century Gothic"/>
          <w:color w:val="222222"/>
          <w:sz w:val="18"/>
          <w:szCs w:val="18"/>
        </w:rPr>
        <w:t xml:space="preserve"> Refer to the approved ERA (as amended) definition</w:t>
      </w:r>
    </w:p>
    <w:p w14:paraId="07D5D426" w14:textId="77777777" w:rsidR="00FD21E9" w:rsidRPr="00207460" w:rsidRDefault="00FD21E9" w:rsidP="00FF0272">
      <w:pPr>
        <w:spacing w:beforeLines="40" w:before="96" w:afterLines="40" w:after="96" w:line="240" w:lineRule="auto"/>
        <w:rPr>
          <w:rFonts w:ascii="Century Gothic" w:hAnsi="Century Gothic"/>
          <w:sz w:val="18"/>
          <w:szCs w:val="18"/>
        </w:rPr>
      </w:pPr>
      <w:r w:rsidRPr="00207460">
        <w:rPr>
          <w:rFonts w:ascii="Century Gothic" w:hAnsi="Century Gothic"/>
          <w:b/>
          <w:sz w:val="18"/>
          <w:szCs w:val="18"/>
        </w:rPr>
        <w:t>Distribution power system:</w:t>
      </w:r>
      <w:r w:rsidRPr="00207460">
        <w:rPr>
          <w:rFonts w:ascii="Century Gothic" w:hAnsi="Century Gothic"/>
          <w:sz w:val="18"/>
          <w:szCs w:val="18"/>
        </w:rPr>
        <w:t xml:space="preserve"> A power system that operates at or below 132kV.</w:t>
      </w:r>
    </w:p>
    <w:p w14:paraId="31386C21" w14:textId="2FBC8C9F" w:rsidR="00FD21E9" w:rsidRPr="00207460" w:rsidRDefault="00FD21E9" w:rsidP="00FF0272">
      <w:pPr>
        <w:spacing w:beforeLines="40" w:before="96" w:afterLines="40" w:after="96" w:line="240" w:lineRule="auto"/>
        <w:rPr>
          <w:rFonts w:ascii="Century Gothic" w:hAnsi="Century Gothic"/>
          <w:sz w:val="18"/>
          <w:szCs w:val="18"/>
        </w:rPr>
      </w:pPr>
      <w:r w:rsidRPr="00207460">
        <w:rPr>
          <w:rFonts w:ascii="Century Gothic" w:hAnsi="Century Gothic"/>
          <w:b/>
          <w:sz w:val="18"/>
          <w:szCs w:val="18"/>
        </w:rPr>
        <w:t>Distribution:</w:t>
      </w:r>
      <w:r w:rsidRPr="00207460">
        <w:rPr>
          <w:rFonts w:ascii="Century Gothic" w:hAnsi="Century Gothic"/>
          <w:sz w:val="18"/>
          <w:szCs w:val="18"/>
        </w:rPr>
        <w:t xml:space="preserve"> The </w:t>
      </w:r>
      <w:r w:rsidR="00E55368" w:rsidRPr="00207460">
        <w:rPr>
          <w:rFonts w:ascii="Century Gothic" w:hAnsi="Century Gothic"/>
          <w:sz w:val="18"/>
          <w:szCs w:val="18"/>
        </w:rPr>
        <w:t xml:space="preserve">transport </w:t>
      </w:r>
      <w:r w:rsidRPr="00207460">
        <w:rPr>
          <w:rFonts w:ascii="Century Gothic" w:hAnsi="Century Gothic"/>
          <w:sz w:val="18"/>
          <w:szCs w:val="18"/>
        </w:rPr>
        <w:t>of electricity through a distribution power system excluding trading, and 'distribute' and 'distributing' have corresponding meanings.</w:t>
      </w:r>
    </w:p>
    <w:p w14:paraId="5C98FBEA" w14:textId="77777777" w:rsidR="00FD21E9" w:rsidRPr="00207460" w:rsidRDefault="00FD21E9" w:rsidP="00FF0272">
      <w:pPr>
        <w:shd w:val="clear" w:color="auto" w:fill="FFFFFF"/>
        <w:spacing w:beforeLines="40" w:before="96" w:afterLines="40" w:after="96" w:line="240" w:lineRule="auto"/>
        <w:rPr>
          <w:rFonts w:ascii="Century Gothic" w:hAnsi="Century Gothic"/>
          <w:color w:val="222222"/>
          <w:sz w:val="18"/>
          <w:szCs w:val="18"/>
        </w:rPr>
      </w:pPr>
      <w:r w:rsidRPr="00207460">
        <w:rPr>
          <w:rFonts w:ascii="Century Gothic" w:hAnsi="Century Gothic"/>
          <w:b/>
          <w:color w:val="222222"/>
          <w:sz w:val="18"/>
          <w:szCs w:val="18"/>
        </w:rPr>
        <w:t>Embedded Generator:</w:t>
      </w:r>
      <w:r w:rsidRPr="00207460">
        <w:rPr>
          <w:rFonts w:ascii="Century Gothic" w:hAnsi="Century Gothic"/>
          <w:color w:val="222222"/>
          <w:sz w:val="18"/>
          <w:szCs w:val="18"/>
        </w:rPr>
        <w:t xml:space="preserve"> An electricity generating device that is connected to a customer's electrical installation beyond the point of control, such as rooftop solar panels or small wind turbines.</w:t>
      </w:r>
    </w:p>
    <w:p w14:paraId="7405163F" w14:textId="6B3B6871" w:rsidR="00FD21E9" w:rsidRPr="00207460" w:rsidRDefault="00FD21E9" w:rsidP="00FF0272">
      <w:pPr>
        <w:spacing w:beforeLines="40" w:before="96" w:afterLines="40" w:after="96" w:line="240" w:lineRule="auto"/>
        <w:rPr>
          <w:rFonts w:ascii="Century Gothic" w:hAnsi="Century Gothic"/>
          <w:sz w:val="18"/>
          <w:szCs w:val="18"/>
        </w:rPr>
      </w:pPr>
      <w:r w:rsidRPr="00207460">
        <w:rPr>
          <w:rFonts w:ascii="Century Gothic" w:hAnsi="Century Gothic"/>
          <w:b/>
          <w:sz w:val="18"/>
          <w:szCs w:val="18"/>
        </w:rPr>
        <w:t>Energy credit:</w:t>
      </w:r>
      <w:r w:rsidRPr="00207460">
        <w:rPr>
          <w:rFonts w:ascii="Century Gothic" w:hAnsi="Century Gothic"/>
          <w:sz w:val="18"/>
          <w:szCs w:val="18"/>
        </w:rPr>
        <w:t xml:space="preserve"> The monetary value of energy sold by third</w:t>
      </w:r>
      <w:r w:rsidR="00200829">
        <w:rPr>
          <w:rFonts w:ascii="Century Gothic" w:hAnsi="Century Gothic"/>
          <w:sz w:val="18"/>
          <w:szCs w:val="18"/>
        </w:rPr>
        <w:t>-</w:t>
      </w:r>
      <w:r w:rsidRPr="00207460">
        <w:rPr>
          <w:rFonts w:ascii="Century Gothic" w:hAnsi="Century Gothic"/>
          <w:sz w:val="18"/>
          <w:szCs w:val="18"/>
        </w:rPr>
        <w:t>party energy providers or traders and provided to customers via the licensed distributor’s grid within the municipal boundary.</w:t>
      </w:r>
    </w:p>
    <w:p w14:paraId="023371B7" w14:textId="6F6B6F60" w:rsidR="00FD21E9" w:rsidRPr="00207460" w:rsidRDefault="00FD21E9" w:rsidP="00FF0272">
      <w:pPr>
        <w:shd w:val="clear" w:color="auto" w:fill="FFFFFF"/>
        <w:spacing w:beforeLines="40" w:before="96" w:afterLines="40" w:after="96" w:line="240" w:lineRule="auto"/>
        <w:rPr>
          <w:rFonts w:ascii="Century Gothic" w:hAnsi="Century Gothic"/>
          <w:color w:val="222222"/>
          <w:sz w:val="18"/>
          <w:szCs w:val="18"/>
        </w:rPr>
      </w:pPr>
      <w:r w:rsidRPr="00207460">
        <w:rPr>
          <w:rFonts w:ascii="Century Gothic" w:hAnsi="Century Gothic"/>
          <w:b/>
          <w:color w:val="222222"/>
          <w:sz w:val="18"/>
          <w:szCs w:val="18"/>
        </w:rPr>
        <w:t>Energy Generator:</w:t>
      </w:r>
      <w:r w:rsidRPr="00207460">
        <w:rPr>
          <w:rFonts w:ascii="Century Gothic" w:hAnsi="Century Gothic"/>
          <w:color w:val="222222"/>
          <w:sz w:val="18"/>
          <w:szCs w:val="18"/>
        </w:rPr>
        <w:t xml:space="preserve"> An entity that produces electricity, usually through power plants or other sources of energy, </w:t>
      </w:r>
      <w:r w:rsidR="00B20E9F" w:rsidRPr="00207460">
        <w:rPr>
          <w:rFonts w:ascii="Century Gothic" w:hAnsi="Century Gothic"/>
          <w:color w:val="222222"/>
          <w:sz w:val="18"/>
          <w:szCs w:val="18"/>
        </w:rPr>
        <w:t>including and not limited to</w:t>
      </w:r>
      <w:r w:rsidRPr="00207460">
        <w:rPr>
          <w:rFonts w:ascii="Century Gothic" w:hAnsi="Century Gothic"/>
          <w:color w:val="222222"/>
          <w:sz w:val="18"/>
          <w:szCs w:val="18"/>
        </w:rPr>
        <w:t xml:space="preserve"> wind turbines, solar panels, or hydroelectric dams.</w:t>
      </w:r>
    </w:p>
    <w:p w14:paraId="0A9E32A8" w14:textId="7D36168A" w:rsidR="00FD21E9" w:rsidRPr="00207460" w:rsidRDefault="00CE0E22" w:rsidP="00FF0272">
      <w:pPr>
        <w:spacing w:beforeLines="40" w:before="96" w:afterLines="40" w:after="96" w:line="240" w:lineRule="auto"/>
        <w:rPr>
          <w:rFonts w:ascii="Century Gothic" w:hAnsi="Century Gothic"/>
          <w:sz w:val="18"/>
          <w:szCs w:val="18"/>
        </w:rPr>
      </w:pPr>
      <w:r w:rsidRPr="00CE0E22">
        <w:rPr>
          <w:rFonts w:ascii="Century Gothic" w:hAnsi="Century Gothic"/>
          <w:b/>
          <w:sz w:val="18"/>
          <w:szCs w:val="18"/>
        </w:rPr>
        <w:t>Electricity</w:t>
      </w:r>
      <w:r w:rsidR="00FD21E9" w:rsidRPr="00207460">
        <w:rPr>
          <w:rFonts w:ascii="Century Gothic" w:hAnsi="Century Gothic"/>
          <w:b/>
          <w:sz w:val="18"/>
          <w:szCs w:val="18"/>
        </w:rPr>
        <w:t xml:space="preserve"> </w:t>
      </w:r>
      <w:r w:rsidR="005C7AB7">
        <w:rPr>
          <w:rFonts w:ascii="Century Gothic" w:hAnsi="Century Gothic"/>
          <w:b/>
          <w:sz w:val="18"/>
          <w:szCs w:val="18"/>
        </w:rPr>
        <w:t>R</w:t>
      </w:r>
      <w:r w:rsidR="00FD21E9" w:rsidRPr="00207460">
        <w:rPr>
          <w:rFonts w:ascii="Century Gothic" w:hAnsi="Century Gothic"/>
          <w:b/>
          <w:sz w:val="18"/>
          <w:szCs w:val="18"/>
        </w:rPr>
        <w:t xml:space="preserve">egulation </w:t>
      </w:r>
      <w:r w:rsidR="005C7AB7">
        <w:rPr>
          <w:rFonts w:ascii="Century Gothic" w:hAnsi="Century Gothic"/>
          <w:b/>
          <w:sz w:val="18"/>
          <w:szCs w:val="18"/>
        </w:rPr>
        <w:t>A</w:t>
      </w:r>
      <w:r w:rsidR="00FD21E9" w:rsidRPr="00207460">
        <w:rPr>
          <w:rFonts w:ascii="Century Gothic" w:hAnsi="Century Gothic"/>
          <w:b/>
          <w:sz w:val="18"/>
          <w:szCs w:val="18"/>
        </w:rPr>
        <w:t>ct (ERA):</w:t>
      </w:r>
      <w:r w:rsidR="00FD21E9" w:rsidRPr="00207460">
        <w:rPr>
          <w:rFonts w:ascii="Century Gothic" w:hAnsi="Century Gothic"/>
          <w:sz w:val="18"/>
          <w:szCs w:val="18"/>
        </w:rPr>
        <w:t xml:space="preserve"> </w:t>
      </w:r>
      <w:r w:rsidR="00A704F7">
        <w:rPr>
          <w:rFonts w:ascii="Century Gothic" w:hAnsi="Century Gothic"/>
          <w:sz w:val="18"/>
          <w:szCs w:val="18"/>
        </w:rPr>
        <w:t>Electricity Regulation Act 4 of 2006</w:t>
      </w:r>
    </w:p>
    <w:p w14:paraId="7209FAD9" w14:textId="77777777" w:rsidR="00FD21E9" w:rsidRPr="00207460" w:rsidRDefault="00FD21E9" w:rsidP="00FF0272">
      <w:pPr>
        <w:shd w:val="clear" w:color="auto" w:fill="FFFFFF"/>
        <w:spacing w:beforeLines="40" w:before="96" w:afterLines="40" w:after="96" w:line="240" w:lineRule="auto"/>
        <w:rPr>
          <w:rFonts w:ascii="Century Gothic" w:hAnsi="Century Gothic"/>
          <w:color w:val="222222"/>
          <w:sz w:val="18"/>
          <w:szCs w:val="18"/>
        </w:rPr>
      </w:pPr>
      <w:r w:rsidRPr="00207460">
        <w:rPr>
          <w:rFonts w:ascii="Century Gothic" w:hAnsi="Century Gothic"/>
          <w:b/>
          <w:color w:val="222222"/>
          <w:sz w:val="18"/>
          <w:szCs w:val="18"/>
        </w:rPr>
        <w:t>Energy Trader:</w:t>
      </w:r>
      <w:r w:rsidRPr="00207460">
        <w:rPr>
          <w:rFonts w:ascii="Century Gothic" w:hAnsi="Century Gothic"/>
          <w:color w:val="222222"/>
          <w:sz w:val="18"/>
          <w:szCs w:val="18"/>
        </w:rPr>
        <w:t xml:space="preserve"> An intermediary that buys and sells electricity in the wholesale market, often acting as a bridge between generators and users.</w:t>
      </w:r>
    </w:p>
    <w:p w14:paraId="03E940ED" w14:textId="77777777" w:rsidR="00FD21E9" w:rsidRPr="00207460" w:rsidRDefault="00FD21E9" w:rsidP="00FF0272">
      <w:pPr>
        <w:spacing w:beforeLines="40" w:before="96" w:afterLines="40" w:after="96" w:line="240" w:lineRule="auto"/>
        <w:rPr>
          <w:rFonts w:ascii="Century Gothic" w:hAnsi="Century Gothic"/>
          <w:sz w:val="18"/>
          <w:szCs w:val="18"/>
        </w:rPr>
      </w:pPr>
      <w:r w:rsidRPr="00207460">
        <w:rPr>
          <w:rFonts w:ascii="Century Gothic" w:hAnsi="Century Gothic"/>
          <w:b/>
          <w:sz w:val="18"/>
          <w:szCs w:val="18"/>
        </w:rPr>
        <w:t>Eskom grid:</w:t>
      </w:r>
      <w:r w:rsidRPr="00207460">
        <w:rPr>
          <w:rFonts w:ascii="Century Gothic" w:hAnsi="Century Gothic"/>
          <w:sz w:val="18"/>
          <w:szCs w:val="18"/>
        </w:rPr>
        <w:t xml:space="preserve"> The transmission or distribution power system owned by Eskom.</w:t>
      </w:r>
    </w:p>
    <w:p w14:paraId="266C703B" w14:textId="77777777" w:rsidR="00FD21E9" w:rsidRPr="00207460" w:rsidRDefault="00FD21E9" w:rsidP="00FF0272">
      <w:pPr>
        <w:shd w:val="clear" w:color="auto" w:fill="FFFFFF"/>
        <w:spacing w:beforeLines="40" w:before="96" w:afterLines="40" w:after="96" w:line="240" w:lineRule="auto"/>
        <w:rPr>
          <w:rFonts w:ascii="Century Gothic" w:hAnsi="Century Gothic"/>
          <w:color w:val="222222"/>
          <w:sz w:val="18"/>
          <w:szCs w:val="18"/>
        </w:rPr>
      </w:pPr>
      <w:r w:rsidRPr="00207460">
        <w:rPr>
          <w:rFonts w:ascii="Century Gothic" w:hAnsi="Century Gothic"/>
          <w:b/>
          <w:color w:val="222222"/>
          <w:sz w:val="18"/>
          <w:szCs w:val="18"/>
        </w:rPr>
        <w:t>Flexibility:</w:t>
      </w:r>
      <w:r w:rsidRPr="00207460">
        <w:rPr>
          <w:rFonts w:ascii="Century Gothic" w:hAnsi="Century Gothic"/>
          <w:color w:val="222222"/>
          <w:sz w:val="18"/>
          <w:szCs w:val="18"/>
        </w:rPr>
        <w:t xml:space="preserve"> In the context of managing energy consumption, flexibility refers to the ability to adjust energy usage in response to changing needs or conditions.</w:t>
      </w:r>
    </w:p>
    <w:p w14:paraId="291A60C0" w14:textId="77777777" w:rsidR="00FD21E9" w:rsidRPr="00207460" w:rsidRDefault="00FD21E9" w:rsidP="00FF0272">
      <w:pPr>
        <w:shd w:val="clear" w:color="auto" w:fill="FFFFFF"/>
        <w:spacing w:beforeLines="40" w:before="96" w:afterLines="40" w:after="96" w:line="240" w:lineRule="auto"/>
        <w:rPr>
          <w:rFonts w:ascii="Century Gothic" w:hAnsi="Century Gothic"/>
          <w:color w:val="222222"/>
          <w:sz w:val="18"/>
          <w:szCs w:val="18"/>
        </w:rPr>
      </w:pPr>
      <w:r w:rsidRPr="00207460">
        <w:rPr>
          <w:rFonts w:ascii="Century Gothic" w:hAnsi="Century Gothic"/>
          <w:b/>
          <w:color w:val="222222"/>
          <w:sz w:val="18"/>
          <w:szCs w:val="18"/>
        </w:rPr>
        <w:t>Generator Grid Connection and Use-of-System Agreement:</w:t>
      </w:r>
      <w:r w:rsidRPr="00207460">
        <w:rPr>
          <w:rFonts w:ascii="Century Gothic" w:hAnsi="Century Gothic"/>
          <w:color w:val="222222"/>
          <w:sz w:val="18"/>
          <w:szCs w:val="18"/>
        </w:rPr>
        <w:t xml:space="preserve"> A contract between the municipality or Eskom (depending on the region) and the generator that outlines the terms and conditions for physically connecting the generation facility to the electricity grid and accessing and using the grid to export electrical energy from the generation facility.</w:t>
      </w:r>
    </w:p>
    <w:p w14:paraId="73FE6D01" w14:textId="6A4E1109" w:rsidR="00FD21E9" w:rsidRPr="00207460" w:rsidRDefault="00FD21E9" w:rsidP="00FF0272">
      <w:pPr>
        <w:spacing w:beforeLines="40" w:before="96" w:afterLines="40" w:after="96" w:line="240" w:lineRule="auto"/>
        <w:rPr>
          <w:rFonts w:ascii="Century Gothic" w:hAnsi="Century Gothic"/>
          <w:sz w:val="18"/>
          <w:szCs w:val="18"/>
        </w:rPr>
      </w:pPr>
      <w:r w:rsidRPr="00207460">
        <w:rPr>
          <w:rFonts w:ascii="Century Gothic" w:hAnsi="Century Gothic"/>
          <w:b/>
          <w:sz w:val="18"/>
          <w:szCs w:val="18"/>
        </w:rPr>
        <w:t>Generator:</w:t>
      </w:r>
      <w:r w:rsidRPr="00207460">
        <w:rPr>
          <w:rFonts w:ascii="Century Gothic" w:hAnsi="Century Gothic"/>
          <w:sz w:val="18"/>
          <w:szCs w:val="18"/>
        </w:rPr>
        <w:t xml:space="preserve"> A </w:t>
      </w:r>
      <w:r w:rsidR="00E55368" w:rsidRPr="00207460">
        <w:rPr>
          <w:rFonts w:ascii="Century Gothic" w:hAnsi="Century Gothic"/>
          <w:sz w:val="18"/>
          <w:szCs w:val="18"/>
        </w:rPr>
        <w:t xml:space="preserve">entity </w:t>
      </w:r>
      <w:r w:rsidRPr="00207460">
        <w:rPr>
          <w:rFonts w:ascii="Century Gothic" w:hAnsi="Century Gothic"/>
          <w:sz w:val="18"/>
          <w:szCs w:val="18"/>
        </w:rPr>
        <w:t>who generates electricity.</w:t>
      </w:r>
    </w:p>
    <w:p w14:paraId="1D4BA0B3" w14:textId="77777777" w:rsidR="00FD21E9" w:rsidRPr="00207460" w:rsidRDefault="00FD21E9" w:rsidP="00FF0272">
      <w:pPr>
        <w:spacing w:beforeLines="40" w:before="96" w:afterLines="40" w:after="96" w:line="240" w:lineRule="auto"/>
        <w:rPr>
          <w:rFonts w:ascii="Century Gothic" w:hAnsi="Century Gothic"/>
          <w:sz w:val="18"/>
          <w:szCs w:val="18"/>
        </w:rPr>
      </w:pPr>
      <w:r w:rsidRPr="00207460">
        <w:rPr>
          <w:rFonts w:ascii="Century Gothic" w:hAnsi="Century Gothic"/>
          <w:b/>
          <w:sz w:val="18"/>
          <w:szCs w:val="18"/>
        </w:rPr>
        <w:t>Grid:</w:t>
      </w:r>
      <w:r w:rsidRPr="00207460">
        <w:rPr>
          <w:rFonts w:ascii="Century Gothic" w:hAnsi="Century Gothic"/>
          <w:sz w:val="18"/>
          <w:szCs w:val="18"/>
        </w:rPr>
        <w:t xml:space="preserve"> An electrical power system used to transport electrical energy. Also referred to as network.</w:t>
      </w:r>
    </w:p>
    <w:p w14:paraId="59404AAA" w14:textId="77777777" w:rsidR="00C24D17" w:rsidRPr="00207460" w:rsidRDefault="00C24D17" w:rsidP="00C24D17">
      <w:pPr>
        <w:shd w:val="clear" w:color="auto" w:fill="FFFFFF"/>
        <w:spacing w:beforeLines="40" w:before="96" w:afterLines="40" w:after="96" w:line="240" w:lineRule="auto"/>
        <w:rPr>
          <w:rFonts w:ascii="Century Gothic" w:hAnsi="Century Gothic"/>
          <w:color w:val="222222"/>
          <w:sz w:val="18"/>
          <w:szCs w:val="18"/>
        </w:rPr>
      </w:pPr>
      <w:r w:rsidRPr="00207460">
        <w:rPr>
          <w:rFonts w:ascii="Century Gothic" w:hAnsi="Century Gothic"/>
          <w:b/>
          <w:color w:val="222222"/>
          <w:sz w:val="18"/>
          <w:szCs w:val="18"/>
        </w:rPr>
        <w:t>Grid access:</w:t>
      </w:r>
      <w:r w:rsidRPr="00207460">
        <w:rPr>
          <w:rFonts w:ascii="Century Gothic" w:hAnsi="Century Gothic"/>
          <w:color w:val="222222"/>
          <w:sz w:val="18"/>
          <w:szCs w:val="18"/>
        </w:rPr>
        <w:t xml:space="preserve"> The ability of a third party, such as an independent power producer (IPP) or energy trader, to access the transmission and distribution networks to sell energy capacity to buyers.</w:t>
      </w:r>
    </w:p>
    <w:p w14:paraId="6F9922AD" w14:textId="6004454A" w:rsidR="00C24D17" w:rsidRDefault="00C24D17" w:rsidP="00FF0272">
      <w:pPr>
        <w:shd w:val="clear" w:color="auto" w:fill="FFFFFF"/>
        <w:spacing w:beforeLines="40" w:before="96" w:afterLines="40" w:after="96" w:line="240" w:lineRule="auto"/>
        <w:rPr>
          <w:rFonts w:ascii="Century Gothic" w:hAnsi="Century Gothic"/>
          <w:b/>
          <w:color w:val="222222"/>
          <w:sz w:val="18"/>
          <w:szCs w:val="18"/>
        </w:rPr>
      </w:pPr>
      <w:r>
        <w:rPr>
          <w:rFonts w:ascii="Century Gothic" w:hAnsi="Century Gothic"/>
          <w:b/>
          <w:color w:val="222222"/>
          <w:sz w:val="18"/>
          <w:szCs w:val="18"/>
        </w:rPr>
        <w:lastRenderedPageBreak/>
        <w:t xml:space="preserve">Grid </w:t>
      </w:r>
      <w:r w:rsidRPr="00207460">
        <w:rPr>
          <w:rFonts w:ascii="Century Gothic" w:hAnsi="Century Gothic"/>
          <w:b/>
          <w:color w:val="222222"/>
          <w:sz w:val="18"/>
          <w:szCs w:val="18"/>
        </w:rPr>
        <w:t xml:space="preserve">Code: </w:t>
      </w:r>
      <w:r w:rsidRPr="00207460">
        <w:rPr>
          <w:rFonts w:ascii="Century Gothic" w:hAnsi="Century Gothic"/>
          <w:color w:val="222222"/>
          <w:sz w:val="18"/>
          <w:szCs w:val="18"/>
        </w:rPr>
        <w:t>Means the distribution code, the transmission grid code, or any other code approved by the Regulator.</w:t>
      </w:r>
    </w:p>
    <w:p w14:paraId="7960BF01" w14:textId="246FC9B0" w:rsidR="00FD21E9" w:rsidRPr="00207460" w:rsidRDefault="00FD21E9" w:rsidP="00FF0272">
      <w:pPr>
        <w:shd w:val="clear" w:color="auto" w:fill="FFFFFF"/>
        <w:spacing w:beforeLines="40" w:before="96" w:afterLines="40" w:after="96" w:line="240" w:lineRule="auto"/>
        <w:rPr>
          <w:rFonts w:ascii="Century Gothic" w:hAnsi="Century Gothic"/>
          <w:color w:val="222222"/>
          <w:sz w:val="18"/>
          <w:szCs w:val="18"/>
        </w:rPr>
      </w:pPr>
      <w:r w:rsidRPr="00207460">
        <w:rPr>
          <w:rFonts w:ascii="Century Gothic" w:hAnsi="Century Gothic"/>
          <w:b/>
          <w:color w:val="222222"/>
          <w:sz w:val="18"/>
          <w:szCs w:val="18"/>
        </w:rPr>
        <w:t>Installed generation capacity:</w:t>
      </w:r>
      <w:r w:rsidRPr="00207460">
        <w:rPr>
          <w:rFonts w:ascii="Century Gothic" w:hAnsi="Century Gothic"/>
          <w:color w:val="222222"/>
          <w:sz w:val="18"/>
          <w:szCs w:val="18"/>
        </w:rPr>
        <w:t xml:space="preserve"> The maximum design capacity for the amount of electrical power that can be produced by power generation facilities. This may also be termed “nameplate capacity”.</w:t>
      </w:r>
    </w:p>
    <w:p w14:paraId="1F8AF95E" w14:textId="6EA24C8C" w:rsidR="00E55368" w:rsidRPr="00207460" w:rsidRDefault="00E55368" w:rsidP="00FF0272">
      <w:pPr>
        <w:shd w:val="clear" w:color="auto" w:fill="FFFFFF"/>
        <w:spacing w:beforeLines="40" w:before="96" w:afterLines="40" w:after="96" w:line="240" w:lineRule="auto"/>
        <w:rPr>
          <w:rFonts w:ascii="Century Gothic" w:hAnsi="Century Gothic"/>
          <w:b/>
          <w:color w:val="222222"/>
          <w:sz w:val="18"/>
          <w:szCs w:val="18"/>
        </w:rPr>
      </w:pPr>
      <w:r w:rsidRPr="00207460">
        <w:rPr>
          <w:rFonts w:ascii="Century Gothic" w:hAnsi="Century Gothic" w:cstheme="minorHAnsi"/>
          <w:b/>
          <w:sz w:val="18"/>
          <w:szCs w:val="18"/>
        </w:rPr>
        <w:t>Licensee</w:t>
      </w:r>
      <w:r w:rsidR="00995534" w:rsidRPr="00207460">
        <w:rPr>
          <w:rFonts w:ascii="Century Gothic" w:hAnsi="Century Gothic" w:cstheme="minorHAnsi"/>
          <w:b/>
          <w:sz w:val="18"/>
          <w:szCs w:val="18"/>
        </w:rPr>
        <w:t xml:space="preserve">: </w:t>
      </w:r>
      <w:r w:rsidRPr="00207460">
        <w:rPr>
          <w:rFonts w:ascii="Century Gothic" w:hAnsi="Century Gothic" w:cstheme="minorHAnsi"/>
          <w:sz w:val="18"/>
          <w:szCs w:val="18"/>
        </w:rPr>
        <w:t>The Distribution or Transmission entity licensed by NERSA to provide a network service and/or retail trading function</w:t>
      </w:r>
      <w:r w:rsidRPr="00207460">
        <w:rPr>
          <w:rFonts w:ascii="Century Gothic" w:hAnsi="Century Gothic" w:cstheme="minorHAnsi"/>
          <w:b/>
          <w:sz w:val="18"/>
          <w:szCs w:val="18"/>
        </w:rPr>
        <w:t xml:space="preserve">  </w:t>
      </w:r>
      <w:r w:rsidRPr="00207460">
        <w:rPr>
          <w:rFonts w:ascii="Century Gothic" w:hAnsi="Century Gothic"/>
          <w:b/>
          <w:color w:val="222222"/>
          <w:sz w:val="18"/>
          <w:szCs w:val="18"/>
        </w:rPr>
        <w:t xml:space="preserve"> </w:t>
      </w:r>
    </w:p>
    <w:p w14:paraId="0F8C8140" w14:textId="6DD1AA9B" w:rsidR="00FD21E9" w:rsidRPr="00207460" w:rsidRDefault="00FD21E9" w:rsidP="00FF0272">
      <w:pPr>
        <w:shd w:val="clear" w:color="auto" w:fill="FFFFFF"/>
        <w:spacing w:beforeLines="40" w:before="96" w:afterLines="40" w:after="96" w:line="240" w:lineRule="auto"/>
        <w:rPr>
          <w:rFonts w:ascii="Century Gothic" w:hAnsi="Century Gothic"/>
          <w:color w:val="222222"/>
          <w:sz w:val="18"/>
          <w:szCs w:val="18"/>
        </w:rPr>
      </w:pPr>
      <w:r w:rsidRPr="00207460">
        <w:rPr>
          <w:rFonts w:ascii="Century Gothic" w:hAnsi="Century Gothic"/>
          <w:b/>
          <w:color w:val="222222"/>
          <w:sz w:val="18"/>
          <w:szCs w:val="18"/>
        </w:rPr>
        <w:t>Metering:</w:t>
      </w:r>
      <w:r w:rsidRPr="00207460">
        <w:rPr>
          <w:rFonts w:ascii="Century Gothic" w:hAnsi="Century Gothic"/>
          <w:color w:val="222222"/>
          <w:sz w:val="18"/>
          <w:szCs w:val="18"/>
        </w:rPr>
        <w:t xml:space="preserve"> The process of measuring the amount of electricity delivered by the energy generator at an agreed delivery point </w:t>
      </w:r>
    </w:p>
    <w:p w14:paraId="1C473FB5" w14:textId="77777777" w:rsidR="00FD21E9" w:rsidRPr="00207460" w:rsidRDefault="00FD21E9" w:rsidP="00FF0272">
      <w:pPr>
        <w:spacing w:beforeLines="40" w:before="96" w:afterLines="40" w:after="96" w:line="240" w:lineRule="auto"/>
        <w:rPr>
          <w:rFonts w:ascii="Century Gothic" w:hAnsi="Century Gothic"/>
          <w:sz w:val="18"/>
          <w:szCs w:val="18"/>
        </w:rPr>
      </w:pPr>
      <w:r w:rsidRPr="00207460">
        <w:rPr>
          <w:rFonts w:ascii="Century Gothic" w:hAnsi="Century Gothic"/>
          <w:b/>
          <w:sz w:val="18"/>
          <w:szCs w:val="18"/>
        </w:rPr>
        <w:t xml:space="preserve">Municipality’s grid: </w:t>
      </w:r>
      <w:r w:rsidRPr="00207460">
        <w:rPr>
          <w:rFonts w:ascii="Century Gothic" w:hAnsi="Century Gothic"/>
          <w:bCs/>
          <w:sz w:val="18"/>
          <w:szCs w:val="18"/>
        </w:rPr>
        <w:t>The</w:t>
      </w:r>
      <w:r w:rsidRPr="00207460">
        <w:rPr>
          <w:rFonts w:ascii="Century Gothic" w:hAnsi="Century Gothic"/>
          <w:sz w:val="18"/>
          <w:szCs w:val="18"/>
        </w:rPr>
        <w:t xml:space="preserve"> distribution power system in XX Municipality’s licensed supply area.</w:t>
      </w:r>
    </w:p>
    <w:p w14:paraId="6DF27E5C" w14:textId="1DAC8494" w:rsidR="00E55368" w:rsidRPr="00207460" w:rsidRDefault="00E55368" w:rsidP="00FF0272">
      <w:pPr>
        <w:shd w:val="clear" w:color="auto" w:fill="FFFFFF"/>
        <w:spacing w:beforeLines="40" w:before="96" w:afterLines="40" w:after="96" w:line="240" w:lineRule="auto"/>
        <w:rPr>
          <w:rFonts w:ascii="Century Gothic" w:hAnsi="Century Gothic"/>
          <w:b/>
          <w:color w:val="222222"/>
          <w:sz w:val="18"/>
          <w:szCs w:val="18"/>
        </w:rPr>
      </w:pPr>
      <w:r w:rsidRPr="00207460">
        <w:rPr>
          <w:rFonts w:ascii="Century Gothic" w:hAnsi="Century Gothic"/>
          <w:b/>
          <w:color w:val="222222"/>
          <w:sz w:val="18"/>
          <w:szCs w:val="18"/>
        </w:rPr>
        <w:t>Network</w:t>
      </w:r>
      <w:r w:rsidR="00995534" w:rsidRPr="00207460">
        <w:rPr>
          <w:rFonts w:ascii="Century Gothic" w:hAnsi="Century Gothic"/>
          <w:b/>
          <w:color w:val="222222"/>
          <w:sz w:val="18"/>
          <w:szCs w:val="18"/>
        </w:rPr>
        <w:t xml:space="preserve">: </w:t>
      </w:r>
      <w:r w:rsidRPr="00207460">
        <w:rPr>
          <w:rFonts w:ascii="Century Gothic" w:hAnsi="Century Gothic"/>
          <w:color w:val="222222"/>
          <w:sz w:val="18"/>
          <w:szCs w:val="18"/>
        </w:rPr>
        <w:t>The licensed national Transmission or Distribution power systems comprising powerlines and electrical energy infrastructure that allows or permits electrical energy to be generated, transported and/or delivered to customers that are connected to it.</w:t>
      </w:r>
    </w:p>
    <w:p w14:paraId="7463B2DB" w14:textId="427A6E9E" w:rsidR="00FD21E9" w:rsidRPr="00207460" w:rsidRDefault="00FD21E9" w:rsidP="00FF0272">
      <w:pPr>
        <w:shd w:val="clear" w:color="auto" w:fill="FFFFFF"/>
        <w:spacing w:beforeLines="40" w:before="96" w:afterLines="40" w:after="96" w:line="240" w:lineRule="auto"/>
        <w:rPr>
          <w:rFonts w:ascii="Century Gothic" w:hAnsi="Century Gothic"/>
          <w:color w:val="222222"/>
          <w:sz w:val="18"/>
          <w:szCs w:val="18"/>
        </w:rPr>
      </w:pPr>
      <w:r w:rsidRPr="00207460">
        <w:rPr>
          <w:rFonts w:ascii="Century Gothic" w:hAnsi="Century Gothic"/>
          <w:b/>
          <w:color w:val="222222"/>
          <w:sz w:val="18"/>
          <w:szCs w:val="18"/>
        </w:rPr>
        <w:t>Network Capacity:</w:t>
      </w:r>
      <w:r w:rsidRPr="00207460">
        <w:rPr>
          <w:rFonts w:ascii="Century Gothic" w:hAnsi="Century Gothic"/>
          <w:color w:val="222222"/>
          <w:sz w:val="18"/>
          <w:szCs w:val="18"/>
        </w:rPr>
        <w:t xml:space="preserve"> The maximum amount of electricity that can be transmitted over a given transmission line or network without overloading the system.</w:t>
      </w:r>
    </w:p>
    <w:p w14:paraId="3108804D" w14:textId="5B98D370" w:rsidR="005E037F" w:rsidRDefault="00CE0E22" w:rsidP="00FF0272">
      <w:pPr>
        <w:spacing w:beforeLines="40" w:before="96" w:afterLines="40" w:after="96" w:line="240" w:lineRule="auto"/>
        <w:rPr>
          <w:rFonts w:ascii="Century Gothic" w:hAnsi="Century Gothic"/>
          <w:b/>
          <w:sz w:val="18"/>
          <w:szCs w:val="18"/>
        </w:rPr>
      </w:pPr>
      <w:r w:rsidRPr="00CE0E22">
        <w:rPr>
          <w:rFonts w:ascii="Century Gothic" w:hAnsi="Century Gothic"/>
          <w:b/>
          <w:bCs/>
          <w:sz w:val="18"/>
          <w:szCs w:val="18"/>
        </w:rPr>
        <w:t xml:space="preserve">National Energy Regulator Act </w:t>
      </w:r>
      <w:r w:rsidR="005E037F" w:rsidRPr="005E037F">
        <w:rPr>
          <w:rFonts w:ascii="Century Gothic" w:hAnsi="Century Gothic"/>
          <w:b/>
          <w:bCs/>
          <w:sz w:val="18"/>
          <w:szCs w:val="18"/>
        </w:rPr>
        <w:t>NERA</w:t>
      </w:r>
      <w:r w:rsidR="005E037F">
        <w:rPr>
          <w:rFonts w:ascii="Century Gothic" w:hAnsi="Century Gothic"/>
          <w:sz w:val="18"/>
          <w:szCs w:val="18"/>
        </w:rPr>
        <w:t xml:space="preserve">: </w:t>
      </w:r>
      <w:r w:rsidR="005E037F" w:rsidRPr="00207460">
        <w:rPr>
          <w:rFonts w:ascii="Century Gothic" w:hAnsi="Century Gothic"/>
          <w:sz w:val="18"/>
          <w:szCs w:val="18"/>
        </w:rPr>
        <w:t>National Energy Regulator Act, 2004 (Act 40 of 2004).</w:t>
      </w:r>
    </w:p>
    <w:p w14:paraId="06131242" w14:textId="179E5AA7" w:rsidR="000620F6" w:rsidRPr="00207460" w:rsidRDefault="000620F6" w:rsidP="00FF0272">
      <w:pPr>
        <w:spacing w:beforeLines="40" w:before="96" w:afterLines="40" w:after="96" w:line="240" w:lineRule="auto"/>
        <w:rPr>
          <w:rFonts w:ascii="Century Gothic" w:hAnsi="Century Gothic"/>
          <w:bCs/>
          <w:sz w:val="18"/>
          <w:szCs w:val="18"/>
        </w:rPr>
      </w:pPr>
      <w:r w:rsidRPr="00207460">
        <w:rPr>
          <w:rFonts w:ascii="Century Gothic" w:hAnsi="Century Gothic"/>
          <w:b/>
          <w:sz w:val="18"/>
          <w:szCs w:val="18"/>
        </w:rPr>
        <w:t xml:space="preserve">A Non-Utility Generator: </w:t>
      </w:r>
      <w:r w:rsidRPr="00207460">
        <w:rPr>
          <w:rFonts w:ascii="Century Gothic" w:hAnsi="Century Gothic"/>
          <w:bCs/>
          <w:sz w:val="18"/>
          <w:szCs w:val="18"/>
        </w:rPr>
        <w:t>refers to an electricity generation system or device that operates independently of traditional utility companies such as Eskom or municipal providers. It is a term commonly used to describe a power generation source that is not connected to the centralized electrical grid and is typically used to generate electricity for specific purposes or locations.</w:t>
      </w:r>
    </w:p>
    <w:p w14:paraId="2FD16CED" w14:textId="44C0B195" w:rsidR="00FD21E9" w:rsidRPr="00207460" w:rsidRDefault="00FB5506" w:rsidP="00FF0272">
      <w:pPr>
        <w:spacing w:beforeLines="40" w:before="96" w:afterLines="40" w:after="96" w:line="240" w:lineRule="auto"/>
        <w:rPr>
          <w:rFonts w:ascii="Century Gothic" w:hAnsi="Century Gothic"/>
          <w:sz w:val="18"/>
          <w:szCs w:val="18"/>
        </w:rPr>
      </w:pPr>
      <w:r w:rsidRPr="00207460">
        <w:rPr>
          <w:rFonts w:ascii="Century Gothic" w:hAnsi="Century Gothic"/>
          <w:b/>
          <w:sz w:val="18"/>
          <w:szCs w:val="18"/>
        </w:rPr>
        <w:t>Off-taker</w:t>
      </w:r>
      <w:r w:rsidR="00FD21E9" w:rsidRPr="00207460">
        <w:rPr>
          <w:rFonts w:ascii="Century Gothic" w:hAnsi="Century Gothic"/>
          <w:sz w:val="18"/>
          <w:szCs w:val="18"/>
        </w:rPr>
        <w:t>: A municipality electricity customer and the purchaser of third-party electrical energy, or a third-party customer located outside of the Municipal jurisdiction but where the generation facility is located with the municipalities licenced area. Also referred to as end-user.</w:t>
      </w:r>
    </w:p>
    <w:p w14:paraId="104C9332" w14:textId="77777777" w:rsidR="00FD21E9" w:rsidRPr="00207460" w:rsidRDefault="00FD21E9" w:rsidP="00FF0272">
      <w:pPr>
        <w:shd w:val="clear" w:color="auto" w:fill="FFFFFF"/>
        <w:spacing w:beforeLines="40" w:before="96" w:afterLines="40" w:after="96" w:line="240" w:lineRule="auto"/>
        <w:rPr>
          <w:rFonts w:ascii="Century Gothic" w:hAnsi="Century Gothic"/>
          <w:color w:val="222222"/>
          <w:sz w:val="18"/>
          <w:szCs w:val="18"/>
        </w:rPr>
      </w:pPr>
      <w:r w:rsidRPr="00207460">
        <w:rPr>
          <w:rFonts w:ascii="Century Gothic" w:hAnsi="Century Gothic"/>
          <w:b/>
          <w:color w:val="222222"/>
          <w:sz w:val="18"/>
          <w:szCs w:val="18"/>
        </w:rPr>
        <w:t>Power Purchase Agreements (PPA):</w:t>
      </w:r>
      <w:r w:rsidRPr="00207460">
        <w:rPr>
          <w:rFonts w:ascii="Century Gothic" w:hAnsi="Century Gothic"/>
          <w:color w:val="222222"/>
          <w:sz w:val="18"/>
          <w:szCs w:val="18"/>
        </w:rPr>
        <w:t xml:space="preserve"> a legal contract between two parties, usually a power producer (such as a renewable energy developer) and a power purchaser (such as a utility, corporate entity or trader), in which the purchaser agrees to buy a specified amount of energy over a certain period of time from the producer.</w:t>
      </w:r>
    </w:p>
    <w:p w14:paraId="64B7A97F" w14:textId="77777777" w:rsidR="00FD21E9" w:rsidRPr="00207460" w:rsidRDefault="00FD21E9" w:rsidP="00FF0272">
      <w:pPr>
        <w:shd w:val="clear" w:color="auto" w:fill="FFFFFF"/>
        <w:spacing w:beforeLines="40" w:before="96" w:afterLines="40" w:after="96" w:line="240" w:lineRule="auto"/>
        <w:rPr>
          <w:rFonts w:ascii="Century Gothic" w:hAnsi="Century Gothic"/>
          <w:color w:val="222222"/>
          <w:sz w:val="18"/>
          <w:szCs w:val="18"/>
        </w:rPr>
      </w:pPr>
      <w:r w:rsidRPr="00207460">
        <w:rPr>
          <w:rFonts w:ascii="Century Gothic" w:hAnsi="Century Gothic"/>
          <w:b/>
          <w:color w:val="222222"/>
          <w:sz w:val="18"/>
          <w:szCs w:val="18"/>
        </w:rPr>
        <w:t>Renewable energy:</w:t>
      </w:r>
      <w:r w:rsidRPr="00207460">
        <w:rPr>
          <w:rFonts w:ascii="Century Gothic" w:hAnsi="Century Gothic"/>
          <w:color w:val="222222"/>
          <w:sz w:val="18"/>
          <w:szCs w:val="18"/>
        </w:rPr>
        <w:t xml:space="preserve"> Energy that is derived from sources that are naturally replenished, such as wind, solar, hydropower.</w:t>
      </w:r>
    </w:p>
    <w:p w14:paraId="74EE6026" w14:textId="77777777" w:rsidR="00FD21E9" w:rsidRPr="00207460" w:rsidRDefault="00FD21E9" w:rsidP="00FF0272">
      <w:pPr>
        <w:shd w:val="clear" w:color="auto" w:fill="FFFFFF"/>
        <w:spacing w:beforeLines="40" w:before="96" w:afterLines="40" w:after="96" w:line="240" w:lineRule="auto"/>
        <w:rPr>
          <w:rFonts w:ascii="Century Gothic" w:hAnsi="Century Gothic"/>
          <w:color w:val="222222"/>
          <w:sz w:val="18"/>
          <w:szCs w:val="18"/>
        </w:rPr>
      </w:pPr>
      <w:r w:rsidRPr="00207460">
        <w:rPr>
          <w:rFonts w:ascii="Century Gothic" w:hAnsi="Century Gothic"/>
          <w:b/>
          <w:color w:val="222222"/>
          <w:sz w:val="18"/>
          <w:szCs w:val="18"/>
        </w:rPr>
        <w:t>Self-generation:</w:t>
      </w:r>
      <w:r w:rsidRPr="00207460">
        <w:rPr>
          <w:rFonts w:ascii="Century Gothic" w:hAnsi="Century Gothic"/>
          <w:color w:val="222222"/>
          <w:sz w:val="18"/>
          <w:szCs w:val="18"/>
        </w:rPr>
        <w:t xml:space="preserve"> The production of electricity by a consumer, typically for their own use, using a power generation facility located on their premises.</w:t>
      </w:r>
    </w:p>
    <w:p w14:paraId="77EB8B09" w14:textId="50AE1C69" w:rsidR="00FD21E9" w:rsidRDefault="00FD21E9" w:rsidP="00FF0272">
      <w:pPr>
        <w:shd w:val="clear" w:color="auto" w:fill="FFFFFF"/>
        <w:spacing w:beforeLines="40" w:before="96" w:afterLines="40" w:after="96" w:line="240" w:lineRule="auto"/>
        <w:rPr>
          <w:rFonts w:ascii="Century Gothic" w:hAnsi="Century Gothic"/>
          <w:color w:val="222222"/>
          <w:sz w:val="18"/>
          <w:szCs w:val="18"/>
        </w:rPr>
      </w:pPr>
      <w:r w:rsidRPr="00207460">
        <w:rPr>
          <w:rFonts w:ascii="Century Gothic" w:hAnsi="Century Gothic"/>
          <w:b/>
          <w:color w:val="222222"/>
          <w:sz w:val="18"/>
          <w:szCs w:val="18"/>
        </w:rPr>
        <w:t xml:space="preserve">Smart </w:t>
      </w:r>
      <w:r w:rsidR="00680B65" w:rsidRPr="00207460">
        <w:rPr>
          <w:rFonts w:ascii="Century Gothic" w:hAnsi="Century Gothic"/>
          <w:b/>
          <w:color w:val="222222"/>
          <w:sz w:val="18"/>
          <w:szCs w:val="18"/>
        </w:rPr>
        <w:t>metering</w:t>
      </w:r>
      <w:r w:rsidR="00680B65" w:rsidRPr="00207460">
        <w:rPr>
          <w:rFonts w:ascii="Century Gothic" w:hAnsi="Century Gothic"/>
          <w:color w:val="222222"/>
          <w:sz w:val="18"/>
          <w:szCs w:val="18"/>
        </w:rPr>
        <w:t>:</w:t>
      </w:r>
      <w:r w:rsidR="00417E26">
        <w:rPr>
          <w:rFonts w:ascii="Century Gothic" w:hAnsi="Century Gothic"/>
          <w:color w:val="222222"/>
          <w:sz w:val="18"/>
          <w:szCs w:val="18"/>
        </w:rPr>
        <w:t xml:space="preserve"> Is </w:t>
      </w:r>
      <w:r w:rsidR="00417E26" w:rsidRPr="00417E26">
        <w:rPr>
          <w:rFonts w:ascii="Century Gothic" w:hAnsi="Century Gothic"/>
          <w:color w:val="222222"/>
          <w:sz w:val="18"/>
          <w:szCs w:val="18"/>
        </w:rPr>
        <w:t xml:space="preserve">about measuring </w:t>
      </w:r>
      <w:r w:rsidR="00417E26">
        <w:rPr>
          <w:rFonts w:ascii="Century Gothic" w:hAnsi="Century Gothic"/>
          <w:color w:val="222222"/>
          <w:sz w:val="18"/>
          <w:szCs w:val="18"/>
        </w:rPr>
        <w:t>electricity</w:t>
      </w:r>
      <w:r w:rsidR="00417E26" w:rsidRPr="00417E26">
        <w:rPr>
          <w:rFonts w:ascii="Century Gothic" w:hAnsi="Century Gothic"/>
          <w:color w:val="222222"/>
          <w:sz w:val="18"/>
          <w:szCs w:val="18"/>
        </w:rPr>
        <w:t xml:space="preserve"> usage. Instead of traditional manual meters that require someone to read them in person,</w:t>
      </w:r>
      <w:r w:rsidR="00417E26">
        <w:rPr>
          <w:rFonts w:ascii="Century Gothic" w:hAnsi="Century Gothic"/>
          <w:color w:val="222222"/>
          <w:sz w:val="18"/>
          <w:szCs w:val="18"/>
        </w:rPr>
        <w:t xml:space="preserve"> </w:t>
      </w:r>
      <w:r w:rsidR="00417E26" w:rsidRPr="00417E26">
        <w:rPr>
          <w:rFonts w:ascii="Century Gothic" w:hAnsi="Century Gothic"/>
          <w:color w:val="222222"/>
          <w:sz w:val="18"/>
          <w:szCs w:val="18"/>
        </w:rPr>
        <w:t>smar</w:t>
      </w:r>
      <w:r w:rsidR="00417E26">
        <w:rPr>
          <w:rFonts w:ascii="Century Gothic" w:hAnsi="Century Gothic"/>
          <w:color w:val="222222"/>
          <w:sz w:val="18"/>
          <w:szCs w:val="18"/>
        </w:rPr>
        <w:t>t</w:t>
      </w:r>
      <w:r w:rsidR="00417E26" w:rsidRPr="00417E26">
        <w:rPr>
          <w:rFonts w:ascii="Century Gothic" w:hAnsi="Century Gothic"/>
          <w:color w:val="222222"/>
          <w:sz w:val="18"/>
          <w:szCs w:val="18"/>
        </w:rPr>
        <w:t xml:space="preserve"> meters</w:t>
      </w:r>
      <w:r w:rsidR="00417E26">
        <w:rPr>
          <w:rFonts w:ascii="Century Gothic" w:hAnsi="Century Gothic"/>
          <w:color w:val="222222"/>
          <w:sz w:val="18"/>
          <w:szCs w:val="18"/>
        </w:rPr>
        <w:t xml:space="preserve">, </w:t>
      </w:r>
      <w:r w:rsidR="00417E26" w:rsidRPr="00417E26">
        <w:rPr>
          <w:rFonts w:ascii="Century Gothic" w:hAnsi="Century Gothic"/>
          <w:color w:val="222222"/>
          <w:sz w:val="18"/>
          <w:szCs w:val="18"/>
        </w:rPr>
        <w:t>automatically record and transmit</w:t>
      </w:r>
      <w:r w:rsidR="00417E26">
        <w:rPr>
          <w:rFonts w:ascii="Century Gothic" w:hAnsi="Century Gothic"/>
          <w:color w:val="222222"/>
          <w:sz w:val="18"/>
          <w:szCs w:val="18"/>
        </w:rPr>
        <w:t xml:space="preserve"> </w:t>
      </w:r>
      <w:r w:rsidR="00417E26" w:rsidRPr="00417E26">
        <w:rPr>
          <w:rFonts w:ascii="Century Gothic" w:hAnsi="Century Gothic"/>
          <w:color w:val="222222"/>
          <w:sz w:val="18"/>
          <w:szCs w:val="18"/>
        </w:rPr>
        <w:t xml:space="preserve"> usage data without the need for physical inspections.</w:t>
      </w:r>
    </w:p>
    <w:p w14:paraId="0F2A1856" w14:textId="4F7DA3FA" w:rsidR="008C3451" w:rsidRPr="00207460" w:rsidRDefault="008C3451" w:rsidP="00FF0272">
      <w:pPr>
        <w:shd w:val="clear" w:color="auto" w:fill="FFFFFF"/>
        <w:spacing w:beforeLines="40" w:before="96" w:afterLines="40" w:after="96" w:line="240" w:lineRule="auto"/>
        <w:rPr>
          <w:rFonts w:ascii="Century Gothic" w:hAnsi="Century Gothic"/>
          <w:color w:val="222222"/>
          <w:sz w:val="18"/>
          <w:szCs w:val="18"/>
        </w:rPr>
      </w:pPr>
      <w:r w:rsidRPr="00417E26">
        <w:rPr>
          <w:rFonts w:ascii="Century Gothic" w:hAnsi="Century Gothic"/>
          <w:b/>
          <w:bCs/>
          <w:color w:val="222222"/>
          <w:sz w:val="18"/>
          <w:szCs w:val="18"/>
        </w:rPr>
        <w:t xml:space="preserve">Smart metering </w:t>
      </w:r>
      <w:r w:rsidR="00680B65" w:rsidRPr="00417E26">
        <w:rPr>
          <w:rFonts w:ascii="Century Gothic" w:hAnsi="Century Gothic"/>
          <w:b/>
          <w:bCs/>
          <w:color w:val="222222"/>
          <w:sz w:val="18"/>
          <w:szCs w:val="18"/>
        </w:rPr>
        <w:t>System:</w:t>
      </w:r>
      <w:r w:rsidR="00680B65" w:rsidRPr="00680B65">
        <w:rPr>
          <w:rFonts w:ascii="Century Gothic" w:hAnsi="Century Gothic"/>
          <w:color w:val="222222"/>
          <w:sz w:val="18"/>
          <w:szCs w:val="18"/>
        </w:rPr>
        <w:t xml:space="preserve"> </w:t>
      </w:r>
      <w:r w:rsidR="00680B65" w:rsidRPr="00207460">
        <w:rPr>
          <w:rFonts w:ascii="Century Gothic" w:hAnsi="Century Gothic"/>
          <w:color w:val="222222"/>
          <w:sz w:val="18"/>
          <w:szCs w:val="18"/>
        </w:rPr>
        <w:t>The use of advanced metering technology to monitor and control energy usage</w:t>
      </w:r>
    </w:p>
    <w:p w14:paraId="2241D494" w14:textId="77777777" w:rsidR="00FD21E9" w:rsidRPr="00207460" w:rsidRDefault="00FD21E9" w:rsidP="00FF0272">
      <w:pPr>
        <w:spacing w:beforeLines="40" w:before="96" w:afterLines="40" w:after="96" w:line="240" w:lineRule="auto"/>
        <w:rPr>
          <w:rFonts w:ascii="Century Gothic" w:hAnsi="Century Gothic"/>
          <w:sz w:val="18"/>
          <w:szCs w:val="18"/>
        </w:rPr>
      </w:pPr>
      <w:r w:rsidRPr="00207460">
        <w:rPr>
          <w:rFonts w:ascii="Century Gothic" w:hAnsi="Century Gothic"/>
          <w:b/>
          <w:sz w:val="18"/>
          <w:szCs w:val="18"/>
        </w:rPr>
        <w:t>The Constitution:</w:t>
      </w:r>
      <w:r w:rsidRPr="00207460">
        <w:rPr>
          <w:rFonts w:ascii="Century Gothic" w:hAnsi="Century Gothic"/>
          <w:sz w:val="18"/>
          <w:szCs w:val="18"/>
        </w:rPr>
        <w:t xml:space="preserve"> The Constitution of the Republic of South Africa, 1996.</w:t>
      </w:r>
    </w:p>
    <w:p w14:paraId="5284F26E" w14:textId="5EE6DD1D" w:rsidR="00FD21E9" w:rsidRPr="00207460" w:rsidRDefault="00FD21E9" w:rsidP="00FF0272">
      <w:pPr>
        <w:shd w:val="clear" w:color="auto" w:fill="FFFFFF"/>
        <w:spacing w:beforeLines="40" w:before="96" w:afterLines="40" w:after="96" w:line="240" w:lineRule="auto"/>
        <w:rPr>
          <w:rFonts w:ascii="Century Gothic" w:hAnsi="Century Gothic"/>
          <w:color w:val="222222"/>
          <w:sz w:val="18"/>
          <w:szCs w:val="18"/>
        </w:rPr>
      </w:pPr>
      <w:r w:rsidRPr="00207460">
        <w:rPr>
          <w:rFonts w:ascii="Century Gothic" w:hAnsi="Century Gothic"/>
          <w:b/>
          <w:color w:val="222222"/>
          <w:sz w:val="18"/>
          <w:szCs w:val="18"/>
        </w:rPr>
        <w:t xml:space="preserve">Third party </w:t>
      </w:r>
      <w:r w:rsidR="00995534" w:rsidRPr="00207460">
        <w:rPr>
          <w:rFonts w:ascii="Century Gothic" w:hAnsi="Century Gothic"/>
          <w:b/>
          <w:color w:val="222222"/>
          <w:sz w:val="18"/>
          <w:szCs w:val="18"/>
        </w:rPr>
        <w:t>wheeling</w:t>
      </w:r>
      <w:r w:rsidRPr="00207460">
        <w:rPr>
          <w:rFonts w:ascii="Century Gothic" w:hAnsi="Century Gothic"/>
          <w:b/>
          <w:color w:val="222222"/>
          <w:sz w:val="18"/>
          <w:szCs w:val="18"/>
        </w:rPr>
        <w:t>:</w:t>
      </w:r>
      <w:r w:rsidRPr="00207460">
        <w:rPr>
          <w:rFonts w:ascii="Century Gothic" w:hAnsi="Century Gothic"/>
          <w:color w:val="222222"/>
          <w:sz w:val="18"/>
          <w:szCs w:val="18"/>
        </w:rPr>
        <w:t xml:space="preserve"> </w:t>
      </w:r>
      <w:r w:rsidR="00995534" w:rsidRPr="00207460">
        <w:rPr>
          <w:rFonts w:ascii="Century Gothic" w:hAnsi="Century Gothic"/>
          <w:color w:val="222222"/>
          <w:sz w:val="18"/>
          <w:szCs w:val="18"/>
        </w:rPr>
        <w:t>Third-party wheeling is a financial transaction where through a bi-lateral transaction, a generator sells their generated electrical energy to another party, using the existing distribution or transmission infrastructure of a Licensee</w:t>
      </w:r>
    </w:p>
    <w:p w14:paraId="5155366F" w14:textId="77777777" w:rsidR="00FD21E9" w:rsidRPr="00207460" w:rsidRDefault="00FD21E9" w:rsidP="00FF0272">
      <w:pPr>
        <w:spacing w:beforeLines="40" w:before="96" w:afterLines="40" w:after="96" w:line="240" w:lineRule="auto"/>
        <w:rPr>
          <w:rFonts w:ascii="Century Gothic" w:hAnsi="Century Gothic"/>
          <w:sz w:val="18"/>
          <w:szCs w:val="18"/>
        </w:rPr>
      </w:pPr>
      <w:r w:rsidRPr="00207460">
        <w:rPr>
          <w:rFonts w:ascii="Century Gothic" w:hAnsi="Century Gothic"/>
          <w:b/>
          <w:sz w:val="18"/>
          <w:szCs w:val="18"/>
        </w:rPr>
        <w:t>Third-party energy providers</w:t>
      </w:r>
      <w:r w:rsidRPr="00207460">
        <w:rPr>
          <w:rFonts w:ascii="Century Gothic" w:hAnsi="Century Gothic"/>
          <w:sz w:val="18"/>
          <w:szCs w:val="18"/>
        </w:rPr>
        <w:t>: A generator or trader who is neither Eskom nor the Municipality.</w:t>
      </w:r>
    </w:p>
    <w:p w14:paraId="4D161D4F" w14:textId="77777777" w:rsidR="00FD21E9" w:rsidRPr="00207460" w:rsidRDefault="00FD21E9" w:rsidP="00FF0272">
      <w:pPr>
        <w:spacing w:beforeLines="40" w:before="96" w:afterLines="40" w:after="96" w:line="240" w:lineRule="auto"/>
        <w:rPr>
          <w:rFonts w:ascii="Century Gothic" w:hAnsi="Century Gothic"/>
          <w:sz w:val="18"/>
          <w:szCs w:val="18"/>
        </w:rPr>
      </w:pPr>
      <w:r w:rsidRPr="00207460">
        <w:rPr>
          <w:rFonts w:ascii="Century Gothic" w:hAnsi="Century Gothic"/>
          <w:b/>
          <w:sz w:val="18"/>
          <w:szCs w:val="18"/>
        </w:rPr>
        <w:t>Trader:</w:t>
      </w:r>
      <w:r w:rsidRPr="00207460">
        <w:rPr>
          <w:rFonts w:ascii="Century Gothic" w:hAnsi="Century Gothic"/>
          <w:sz w:val="18"/>
          <w:szCs w:val="18"/>
        </w:rPr>
        <w:t xml:space="preserve"> A licensed entity engaged in trading or reselling.</w:t>
      </w:r>
    </w:p>
    <w:p w14:paraId="646F497F" w14:textId="77777777" w:rsidR="00FD21E9" w:rsidRPr="00207460" w:rsidRDefault="00FD21E9" w:rsidP="00FF0272">
      <w:pPr>
        <w:spacing w:beforeLines="40" w:before="96" w:afterLines="40" w:after="96" w:line="240" w:lineRule="auto"/>
        <w:rPr>
          <w:rFonts w:ascii="Century Gothic" w:hAnsi="Century Gothic"/>
          <w:sz w:val="18"/>
          <w:szCs w:val="18"/>
        </w:rPr>
      </w:pPr>
      <w:r w:rsidRPr="00207460">
        <w:rPr>
          <w:rFonts w:ascii="Century Gothic" w:hAnsi="Century Gothic"/>
          <w:b/>
          <w:sz w:val="18"/>
          <w:szCs w:val="18"/>
        </w:rPr>
        <w:t>Trading:</w:t>
      </w:r>
      <w:r w:rsidRPr="00207460">
        <w:rPr>
          <w:rFonts w:ascii="Century Gothic" w:hAnsi="Century Gothic"/>
          <w:sz w:val="18"/>
          <w:szCs w:val="18"/>
        </w:rPr>
        <w:t xml:space="preserve"> The wholesale or retail buying and selling of electricity.</w:t>
      </w:r>
    </w:p>
    <w:p w14:paraId="1C637943" w14:textId="77777777" w:rsidR="00FD21E9" w:rsidRPr="00207460" w:rsidRDefault="00FD21E9" w:rsidP="00FF0272">
      <w:pPr>
        <w:shd w:val="clear" w:color="auto" w:fill="FFFFFF"/>
        <w:spacing w:beforeLines="40" w:before="96" w:afterLines="40" w:after="96" w:line="240" w:lineRule="auto"/>
        <w:rPr>
          <w:rFonts w:ascii="Century Gothic" w:hAnsi="Century Gothic"/>
          <w:color w:val="222222"/>
          <w:sz w:val="18"/>
          <w:szCs w:val="18"/>
        </w:rPr>
      </w:pPr>
      <w:r w:rsidRPr="00207460">
        <w:rPr>
          <w:rFonts w:ascii="Century Gothic" w:hAnsi="Century Gothic"/>
          <w:b/>
          <w:color w:val="222222"/>
          <w:sz w:val="18"/>
          <w:szCs w:val="18"/>
        </w:rPr>
        <w:t xml:space="preserve">Transmission: </w:t>
      </w:r>
      <w:r w:rsidRPr="00207460">
        <w:rPr>
          <w:rFonts w:ascii="Century Gothic" w:hAnsi="Century Gothic"/>
          <w:color w:val="222222"/>
          <w:sz w:val="18"/>
          <w:szCs w:val="18"/>
        </w:rPr>
        <w:t xml:space="preserve">The process of transporting electricity using high-voltage transmission power lines, </w:t>
      </w:r>
    </w:p>
    <w:p w14:paraId="2F2FB6F0" w14:textId="77777777" w:rsidR="00FD21E9" w:rsidRPr="00207460" w:rsidRDefault="00FD21E9" w:rsidP="00FF0272">
      <w:pPr>
        <w:shd w:val="clear" w:color="auto" w:fill="FFFFFF"/>
        <w:spacing w:beforeLines="40" w:before="96" w:afterLines="40" w:after="96" w:line="240" w:lineRule="auto"/>
        <w:rPr>
          <w:rFonts w:ascii="Century Gothic" w:hAnsi="Century Gothic"/>
          <w:color w:val="222222"/>
          <w:sz w:val="18"/>
          <w:szCs w:val="18"/>
        </w:rPr>
      </w:pPr>
      <w:r w:rsidRPr="00207460">
        <w:rPr>
          <w:rFonts w:ascii="Century Gothic" w:hAnsi="Century Gothic"/>
          <w:b/>
          <w:color w:val="222222"/>
          <w:sz w:val="18"/>
          <w:szCs w:val="18"/>
        </w:rPr>
        <w:t>Virtual PPA:</w:t>
      </w:r>
      <w:r w:rsidRPr="00207460">
        <w:rPr>
          <w:rFonts w:ascii="Century Gothic" w:hAnsi="Century Gothic"/>
          <w:color w:val="222222"/>
          <w:sz w:val="18"/>
          <w:szCs w:val="18"/>
        </w:rPr>
        <w:t xml:space="preserve"> This refers to a contractual agreement between a consumer and a renewable energy generator, under which the consumer purchases power from the generator that is delivered to the grid in exchange for a credit on their energy bill.</w:t>
      </w:r>
    </w:p>
    <w:p w14:paraId="6B0ED1F5" w14:textId="77777777" w:rsidR="000400C8" w:rsidRPr="00207460" w:rsidRDefault="00FD21E9" w:rsidP="00FF0272">
      <w:pPr>
        <w:shd w:val="clear" w:color="auto" w:fill="FFFFFF"/>
        <w:spacing w:beforeLines="40" w:before="96" w:afterLines="40" w:after="96" w:line="240" w:lineRule="auto"/>
        <w:rPr>
          <w:rFonts w:ascii="Century Gothic" w:hAnsi="Century Gothic"/>
          <w:color w:val="222222"/>
          <w:sz w:val="18"/>
          <w:szCs w:val="18"/>
        </w:rPr>
      </w:pPr>
      <w:r w:rsidRPr="00207460">
        <w:rPr>
          <w:rFonts w:ascii="Century Gothic" w:hAnsi="Century Gothic"/>
          <w:b/>
          <w:color w:val="222222"/>
          <w:sz w:val="18"/>
          <w:szCs w:val="18"/>
        </w:rPr>
        <w:t xml:space="preserve">Wheeling: </w:t>
      </w:r>
      <w:r w:rsidR="000400C8" w:rsidRPr="00207460">
        <w:rPr>
          <w:rFonts w:ascii="Century Gothic" w:hAnsi="Century Gothic"/>
          <w:color w:val="222222"/>
          <w:sz w:val="18"/>
          <w:szCs w:val="18"/>
        </w:rPr>
        <w:t>The delivery of electrical energy over the Network from generators to customers.</w:t>
      </w:r>
    </w:p>
    <w:p w14:paraId="1E3DA9AC" w14:textId="77AE0BFD" w:rsidR="00F602C4" w:rsidRPr="003A040F" w:rsidRDefault="00995534" w:rsidP="00FF0272">
      <w:pPr>
        <w:shd w:val="clear" w:color="auto" w:fill="FFFFFF"/>
        <w:spacing w:beforeLines="40" w:before="96" w:afterLines="40" w:after="96" w:line="240" w:lineRule="auto"/>
        <w:rPr>
          <w:rFonts w:ascii="Century Gothic" w:hAnsi="Century Gothic"/>
          <w:color w:val="222222"/>
          <w:sz w:val="18"/>
          <w:szCs w:val="18"/>
        </w:rPr>
      </w:pPr>
      <w:r w:rsidRPr="00831A39">
        <w:rPr>
          <w:rFonts w:ascii="Century Gothic" w:hAnsi="Century Gothic"/>
          <w:b/>
          <w:sz w:val="18"/>
          <w:szCs w:val="18"/>
        </w:rPr>
        <w:t>Wheeled Energy:</w:t>
      </w:r>
      <w:r w:rsidRPr="00831A39">
        <w:rPr>
          <w:rFonts w:ascii="Century Gothic" w:hAnsi="Century Gothic"/>
          <w:sz w:val="18"/>
          <w:szCs w:val="18"/>
        </w:rPr>
        <w:t xml:space="preserve"> </w:t>
      </w:r>
      <w:r w:rsidRPr="003A040F">
        <w:rPr>
          <w:rFonts w:ascii="Century Gothic" w:hAnsi="Century Gothic"/>
          <w:color w:val="222222"/>
          <w:sz w:val="18"/>
          <w:szCs w:val="18"/>
        </w:rPr>
        <w:t>The electrical energy (kWh) produced by the generator as measured by the meter of the generator and the Licensee at one site that is sold to a Buyer at another site and this electricity is delivered from the generator to the customer through a Licensee Networks.</w:t>
      </w:r>
      <w:r w:rsidRPr="00831A39">
        <w:rPr>
          <w:rFonts w:ascii="Century Gothic" w:hAnsi="Century Gothic"/>
          <w:sz w:val="18"/>
          <w:szCs w:val="18"/>
        </w:rPr>
        <w:t xml:space="preserve"> </w:t>
      </w:r>
      <w:r w:rsidR="00F602C4" w:rsidRPr="00831A39">
        <w:rPr>
          <w:rFonts w:ascii="Century Gothic" w:hAnsi="Century Gothic"/>
          <w:sz w:val="18"/>
          <w:szCs w:val="18"/>
        </w:rPr>
        <w:br w:type="page"/>
      </w:r>
    </w:p>
    <w:p w14:paraId="10383DAC" w14:textId="77777777" w:rsidR="008F3E49" w:rsidRPr="00E55368" w:rsidRDefault="008F3E49" w:rsidP="00FF0272">
      <w:pPr>
        <w:spacing w:beforeLines="40" w:before="96" w:afterLines="40" w:after="96" w:line="240" w:lineRule="auto"/>
        <w:rPr>
          <w:rFonts w:ascii="Century Gothic" w:hAnsi="Century Gothic"/>
        </w:rPr>
        <w:sectPr w:rsidR="008F3E49" w:rsidRPr="00E55368" w:rsidSect="005911EF">
          <w:pgSz w:w="11906" w:h="16838"/>
          <w:pgMar w:top="1135" w:right="1440" w:bottom="1440" w:left="1440" w:header="709" w:footer="624" w:gutter="0"/>
          <w:pgNumType w:start="1"/>
          <w:cols w:space="720"/>
          <w:titlePg/>
        </w:sectPr>
      </w:pPr>
      <w:bookmarkStart w:id="9" w:name="_30j0zll" w:colFirst="0" w:colLast="0"/>
      <w:bookmarkEnd w:id="9"/>
    </w:p>
    <w:p w14:paraId="6CF47E2B" w14:textId="220C9400" w:rsidR="008F3E49" w:rsidRPr="00E55368" w:rsidRDefault="00C82A06" w:rsidP="00FF0272">
      <w:pPr>
        <w:pStyle w:val="Heading1"/>
        <w:spacing w:beforeLines="40" w:before="96" w:afterLines="40" w:after="96" w:line="240" w:lineRule="auto"/>
      </w:pPr>
      <w:bookmarkStart w:id="10" w:name="_3znysh7" w:colFirst="0" w:colLast="0"/>
      <w:bookmarkStart w:id="11" w:name="_Toc134598043"/>
      <w:bookmarkStart w:id="12" w:name="_Toc145484191"/>
      <w:bookmarkEnd w:id="10"/>
      <w:r w:rsidRPr="00E55368">
        <w:lastRenderedPageBreak/>
        <w:t>Introduction</w:t>
      </w:r>
      <w:bookmarkEnd w:id="11"/>
      <w:bookmarkEnd w:id="12"/>
    </w:p>
    <w:p w14:paraId="25D6A36A" w14:textId="6D9FC433" w:rsidR="00564E0D" w:rsidRPr="00982985" w:rsidRDefault="00564E0D" w:rsidP="002629AF">
      <w:pPr>
        <w:shd w:val="clear" w:color="auto" w:fill="F2F2F2" w:themeFill="background1" w:themeFillShade="F2"/>
        <w:spacing w:before="120" w:line="240" w:lineRule="auto"/>
        <w:rPr>
          <w:rFonts w:ascii="Century Gothic" w:hAnsi="Century Gothic"/>
          <w:b/>
          <w:bCs/>
          <w:i/>
          <w:iCs/>
          <w:u w:val="single"/>
        </w:rPr>
      </w:pPr>
      <w:r w:rsidRPr="00982985">
        <w:rPr>
          <w:rFonts w:ascii="Segoe UI Emoji" w:hAnsi="Segoe UI Emoji" w:cs="Segoe UI Emoji"/>
        </w:rPr>
        <w:t>🔍</w:t>
      </w:r>
      <w:r w:rsidRPr="00982985">
        <w:rPr>
          <w:rFonts w:ascii="Century Gothic" w:hAnsi="Century Gothic"/>
          <w:b/>
          <w:bCs/>
          <w:i/>
          <w:iCs/>
          <w:u w:val="single"/>
        </w:rPr>
        <w:t xml:space="preserve"> Explanatory notes: </w:t>
      </w:r>
    </w:p>
    <w:p w14:paraId="3BC761AB" w14:textId="57B9A696" w:rsidR="00BC7F2F" w:rsidRPr="00982985" w:rsidRDefault="00BC7F2F" w:rsidP="002629AF">
      <w:pPr>
        <w:shd w:val="clear" w:color="auto" w:fill="F2F2F2" w:themeFill="background1" w:themeFillShade="F2"/>
        <w:spacing w:before="120" w:line="240" w:lineRule="auto"/>
        <w:rPr>
          <w:rFonts w:ascii="Century Gothic" w:hAnsi="Century Gothic"/>
          <w:i/>
          <w:iCs/>
        </w:rPr>
      </w:pPr>
      <w:r w:rsidRPr="00982985">
        <w:rPr>
          <w:rFonts w:ascii="Century Gothic" w:hAnsi="Century Gothic"/>
          <w:i/>
          <w:iCs/>
        </w:rPr>
        <w:t>The Introduction section of the guideline is an important part of the document as it sets the context and provides an overview of the key concepts and objectives related to third-party electricity wheeling. The following points can be considered to enhance the explanatory notes in the introduction:</w:t>
      </w:r>
    </w:p>
    <w:p w14:paraId="2D7821FE" w14:textId="13172143" w:rsidR="00BC7F2F" w:rsidRPr="00982985" w:rsidRDefault="00BC7F2F" w:rsidP="00871EE8">
      <w:pPr>
        <w:pStyle w:val="ListParagraph"/>
        <w:numPr>
          <w:ilvl w:val="0"/>
          <w:numId w:val="23"/>
        </w:numPr>
        <w:shd w:val="clear" w:color="auto" w:fill="F2F2F2" w:themeFill="background1" w:themeFillShade="F2"/>
        <w:spacing w:before="120" w:line="240" w:lineRule="auto"/>
        <w:contextualSpacing w:val="0"/>
        <w:rPr>
          <w:rFonts w:ascii="Century Gothic" w:hAnsi="Century Gothic"/>
          <w:i/>
          <w:iCs/>
        </w:rPr>
      </w:pPr>
      <w:r w:rsidRPr="00982985">
        <w:rPr>
          <w:rFonts w:ascii="Century Gothic" w:hAnsi="Century Gothic"/>
          <w:i/>
          <w:iCs/>
        </w:rPr>
        <w:t>Regulatory Obligations: Municipalities should highlight that they are legally obligated to facilitate the wheeling of electricity in their licensed areas of supply. This obligation stems from national policies and legislation, such as the Electricity Pricing Policy (EPP) and the Electricity Regulation Act (ERA).</w:t>
      </w:r>
    </w:p>
    <w:p w14:paraId="0A7A3D8F" w14:textId="0078BCC7" w:rsidR="00BC7F2F" w:rsidRPr="00982985" w:rsidRDefault="00BC7F2F" w:rsidP="00871EE8">
      <w:pPr>
        <w:pStyle w:val="ListParagraph"/>
        <w:numPr>
          <w:ilvl w:val="0"/>
          <w:numId w:val="23"/>
        </w:numPr>
        <w:shd w:val="clear" w:color="auto" w:fill="F2F2F2" w:themeFill="background1" w:themeFillShade="F2"/>
        <w:spacing w:before="120" w:line="240" w:lineRule="auto"/>
        <w:contextualSpacing w:val="0"/>
        <w:rPr>
          <w:rFonts w:ascii="Century Gothic" w:hAnsi="Century Gothic"/>
          <w:i/>
          <w:iCs/>
        </w:rPr>
      </w:pPr>
      <w:r w:rsidRPr="00982985">
        <w:rPr>
          <w:rFonts w:ascii="Century Gothic" w:hAnsi="Century Gothic"/>
          <w:i/>
          <w:iCs/>
        </w:rPr>
        <w:t>Customer Empowerment: Emphasize that third-party wheeling enables customers to have greater control over their electricity sources. It promotes customer choice by allowing them to procure electricity from third-party generators, including renewable energy sources. This aligns with global efforts to reduce carbon footprints and support the growth of the green economy.</w:t>
      </w:r>
    </w:p>
    <w:p w14:paraId="065767A6" w14:textId="3D4080D5" w:rsidR="00BC7F2F" w:rsidRPr="00982985" w:rsidRDefault="00BC7F2F" w:rsidP="00871EE8">
      <w:pPr>
        <w:pStyle w:val="ListParagraph"/>
        <w:numPr>
          <w:ilvl w:val="0"/>
          <w:numId w:val="23"/>
        </w:numPr>
        <w:shd w:val="clear" w:color="auto" w:fill="F2F2F2" w:themeFill="background1" w:themeFillShade="F2"/>
        <w:spacing w:before="120" w:line="240" w:lineRule="auto"/>
        <w:contextualSpacing w:val="0"/>
        <w:rPr>
          <w:rFonts w:ascii="Century Gothic" w:hAnsi="Century Gothic"/>
          <w:i/>
          <w:iCs/>
        </w:rPr>
      </w:pPr>
      <w:r w:rsidRPr="00982985">
        <w:rPr>
          <w:rFonts w:ascii="Century Gothic" w:hAnsi="Century Gothic"/>
          <w:i/>
          <w:iCs/>
        </w:rPr>
        <w:t>Mitigating Rising Electricity Prices: Explain that long-term bilateral</w:t>
      </w:r>
      <w:r w:rsidR="006E29FD">
        <w:rPr>
          <w:rFonts w:ascii="Century Gothic" w:hAnsi="Century Gothic"/>
          <w:i/>
          <w:iCs/>
        </w:rPr>
        <w:t>/multi-lateral</w:t>
      </w:r>
      <w:r w:rsidRPr="00982985">
        <w:rPr>
          <w:rFonts w:ascii="Century Gothic" w:hAnsi="Century Gothic"/>
          <w:i/>
          <w:iCs/>
        </w:rPr>
        <w:t xml:space="preserve"> agreements made possible through wheeling can help customers mitigate against rising electricity prices. By securing stable electricity prices, customers can protect themselves from unpredictable increases in utility rates.</w:t>
      </w:r>
    </w:p>
    <w:p w14:paraId="66A44C72" w14:textId="36508560" w:rsidR="00BC7F2F" w:rsidRPr="00982985" w:rsidRDefault="00BC7F2F" w:rsidP="00871EE8">
      <w:pPr>
        <w:pStyle w:val="ListParagraph"/>
        <w:numPr>
          <w:ilvl w:val="0"/>
          <w:numId w:val="23"/>
        </w:numPr>
        <w:shd w:val="clear" w:color="auto" w:fill="F2F2F2" w:themeFill="background1" w:themeFillShade="F2"/>
        <w:spacing w:before="120" w:line="240" w:lineRule="auto"/>
        <w:contextualSpacing w:val="0"/>
        <w:rPr>
          <w:rFonts w:ascii="Century Gothic" w:hAnsi="Century Gothic"/>
          <w:i/>
          <w:iCs/>
        </w:rPr>
      </w:pPr>
      <w:r w:rsidRPr="00982985">
        <w:rPr>
          <w:rFonts w:ascii="Century Gothic" w:hAnsi="Century Gothic"/>
          <w:i/>
          <w:iCs/>
        </w:rPr>
        <w:t>Increased Investment in Private Generation Capacity: Highlight the role of wheeling in supporting increased investment in private generation capacity. This can contribute to a more diversified and resilient energy infrastructure and help address the need for additional generation capacity, especially in the face of energy crises and frequent load shedding.</w:t>
      </w:r>
    </w:p>
    <w:p w14:paraId="01F2DB98" w14:textId="61588D2D" w:rsidR="00BC7F2F" w:rsidRPr="00982985" w:rsidRDefault="00BC7F2F" w:rsidP="00871EE8">
      <w:pPr>
        <w:pStyle w:val="ListParagraph"/>
        <w:numPr>
          <w:ilvl w:val="0"/>
          <w:numId w:val="23"/>
        </w:numPr>
        <w:shd w:val="clear" w:color="auto" w:fill="F2F2F2" w:themeFill="background1" w:themeFillShade="F2"/>
        <w:spacing w:before="120" w:line="240" w:lineRule="auto"/>
        <w:contextualSpacing w:val="0"/>
        <w:rPr>
          <w:rFonts w:ascii="Century Gothic" w:hAnsi="Century Gothic"/>
          <w:i/>
          <w:iCs/>
        </w:rPr>
      </w:pPr>
      <w:r w:rsidRPr="00982985">
        <w:rPr>
          <w:rFonts w:ascii="Century Gothic" w:hAnsi="Century Gothic"/>
          <w:i/>
          <w:iCs/>
        </w:rPr>
        <w:t>Network Services and Revenue: Mention the evolving nature of the electricity sector, where network services are expected to become the main revenue earner for distributors. Emphasize that by embracing wheeling, municipalities can adapt to this shift and position themselves to optimize revenue while providing additional services to customers.</w:t>
      </w:r>
    </w:p>
    <w:p w14:paraId="72D18B5B" w14:textId="22E2C0D1" w:rsidR="00BC7F2F" w:rsidRPr="00982985" w:rsidRDefault="00BC7F2F" w:rsidP="00871EE8">
      <w:pPr>
        <w:pStyle w:val="ListParagraph"/>
        <w:numPr>
          <w:ilvl w:val="0"/>
          <w:numId w:val="23"/>
        </w:numPr>
        <w:shd w:val="clear" w:color="auto" w:fill="F2F2F2" w:themeFill="background1" w:themeFillShade="F2"/>
        <w:spacing w:before="120" w:line="240" w:lineRule="auto"/>
        <w:contextualSpacing w:val="0"/>
        <w:rPr>
          <w:rFonts w:ascii="Century Gothic" w:hAnsi="Century Gothic"/>
          <w:i/>
          <w:iCs/>
        </w:rPr>
      </w:pPr>
      <w:r w:rsidRPr="00982985">
        <w:rPr>
          <w:rFonts w:ascii="Century Gothic" w:hAnsi="Century Gothic"/>
          <w:i/>
          <w:iCs/>
        </w:rPr>
        <w:t>Tariffs and Regulations: Emphasize the importance of developing effective tariffs and regulations to regulate third-party wheeling transactions. Municipalities should ensure that their tariffs cover the cost of using the grid infrastructure, transmission, and distribution, while enabling green economic growth and the recovery of their cost of supply.</w:t>
      </w:r>
    </w:p>
    <w:p w14:paraId="6047CAB2" w14:textId="6BDC0569" w:rsidR="00564E0D" w:rsidRPr="00982985" w:rsidRDefault="00BC7F2F" w:rsidP="002629AF">
      <w:pPr>
        <w:shd w:val="clear" w:color="auto" w:fill="F2F2F2" w:themeFill="background1" w:themeFillShade="F2"/>
        <w:spacing w:before="120" w:line="240" w:lineRule="auto"/>
        <w:rPr>
          <w:rFonts w:ascii="Century Gothic" w:hAnsi="Century Gothic"/>
          <w:i/>
          <w:iCs/>
        </w:rPr>
      </w:pPr>
      <w:r w:rsidRPr="00982985">
        <w:rPr>
          <w:rFonts w:ascii="Century Gothic" w:hAnsi="Century Gothic"/>
          <w:i/>
          <w:iCs/>
        </w:rPr>
        <w:t>By incorporating these points, the municipality can provide a comprehensive and informative introduction that outlines the legal obligations, benefits, and objectives of third-party wheeling, while underscoring the importance of developing a sustainable wheeling framework for their customers.</w:t>
      </w:r>
    </w:p>
    <w:p w14:paraId="69515A4B" w14:textId="419EF27F" w:rsidR="00571F9B" w:rsidRPr="00FE49F7" w:rsidRDefault="00FE49F7" w:rsidP="002629AF">
      <w:pPr>
        <w:spacing w:before="120" w:line="240" w:lineRule="auto"/>
        <w:rPr>
          <w:rFonts w:ascii="Century Gothic" w:hAnsi="Century Gothic"/>
          <w:b/>
          <w:bCs/>
          <w:u w:val="single"/>
        </w:rPr>
      </w:pPr>
      <w:r w:rsidRPr="00FE49F7">
        <w:rPr>
          <w:rFonts w:ascii="Segoe UI Emoji" w:hAnsi="Segoe UI Emoji" w:cs="Segoe UI Emoji"/>
          <w:b/>
          <w:bCs/>
          <w:u w:val="single"/>
        </w:rPr>
        <w:t>💡</w:t>
      </w:r>
      <w:r w:rsidR="001059FD" w:rsidRPr="00FE49F7">
        <w:rPr>
          <w:rFonts w:ascii="Century Gothic" w:hAnsi="Century Gothic"/>
          <w:b/>
          <w:bCs/>
          <w:u w:val="single"/>
        </w:rPr>
        <w:t xml:space="preserve">Illustrative example </w:t>
      </w:r>
    </w:p>
    <w:p w14:paraId="04620FEE" w14:textId="2658D979" w:rsidR="0039076D" w:rsidRDefault="007F7D3C" w:rsidP="002629AF">
      <w:pPr>
        <w:spacing w:before="120" w:line="240" w:lineRule="auto"/>
        <w:rPr>
          <w:rFonts w:ascii="Century Gothic" w:hAnsi="Century Gothic"/>
        </w:rPr>
      </w:pPr>
      <w:r w:rsidRPr="00E55368">
        <w:rPr>
          <w:rFonts w:ascii="Century Gothic" w:hAnsi="Century Gothic"/>
        </w:rPr>
        <w:t>Municipalities are obligated by law to facilitate the wheeling of electricity in their licensed areas of supply.  Wheeling can enable consumers to procure electricity from third-party generators and reduce their carbon footprint by purchasing electricity from renewable generators. Wheeling customers in the long run can mitigate against rising electricity prices through long-term bilateral</w:t>
      </w:r>
      <w:r w:rsidR="00026578">
        <w:rPr>
          <w:rFonts w:ascii="Century Gothic" w:hAnsi="Century Gothic"/>
        </w:rPr>
        <w:t>/multi-lateral</w:t>
      </w:r>
      <w:r w:rsidRPr="00E55368">
        <w:rPr>
          <w:rFonts w:ascii="Century Gothic" w:hAnsi="Century Gothic"/>
        </w:rPr>
        <w:t xml:space="preserve"> agreements and support increased investment in private generation capacity. Internationally, the evolution of the electricity sector signals that network services are set to become the main revenue earner for Distributors</w:t>
      </w:r>
      <w:r w:rsidR="00DB4E13">
        <w:rPr>
          <w:rFonts w:ascii="Century Gothic" w:hAnsi="Century Gothic"/>
        </w:rPr>
        <w:t xml:space="preserve"> (i.e. municipalities)</w:t>
      </w:r>
      <w:r w:rsidRPr="00E55368">
        <w:rPr>
          <w:rFonts w:ascii="Century Gothic" w:hAnsi="Century Gothic"/>
        </w:rPr>
        <w:t xml:space="preserve">. As such, wheeling is an imperative and </w:t>
      </w:r>
      <w:r w:rsidR="00EE4A77" w:rsidRPr="00E55368">
        <w:rPr>
          <w:rFonts w:ascii="Century Gothic" w:hAnsi="Century Gothic"/>
        </w:rPr>
        <w:t>Municipalities</w:t>
      </w:r>
      <w:r w:rsidRPr="00E55368">
        <w:rPr>
          <w:rFonts w:ascii="Century Gothic" w:hAnsi="Century Gothic"/>
        </w:rPr>
        <w:t xml:space="preserve"> need to respond by</w:t>
      </w:r>
      <w:r w:rsidR="00EE4A77" w:rsidRPr="00E55368">
        <w:rPr>
          <w:rFonts w:ascii="Century Gothic" w:hAnsi="Century Gothic"/>
        </w:rPr>
        <w:t xml:space="preserve"> developing a</w:t>
      </w:r>
      <w:r w:rsidRPr="00E55368">
        <w:rPr>
          <w:rFonts w:ascii="Century Gothic" w:hAnsi="Century Gothic"/>
        </w:rPr>
        <w:t xml:space="preserve"> sustainable wheeling </w:t>
      </w:r>
      <w:r w:rsidR="009B7BA1" w:rsidRPr="00E55368">
        <w:rPr>
          <w:rFonts w:ascii="Century Gothic" w:hAnsi="Century Gothic"/>
        </w:rPr>
        <w:t>framework for their customers.</w:t>
      </w:r>
    </w:p>
    <w:p w14:paraId="52571FBC" w14:textId="1E0F9D2C" w:rsidR="00693152" w:rsidRDefault="00693152" w:rsidP="00693152">
      <w:pPr>
        <w:spacing w:before="120" w:line="240" w:lineRule="auto"/>
        <w:rPr>
          <w:rFonts w:ascii="Century Gothic" w:hAnsi="Century Gothic"/>
        </w:rPr>
      </w:pPr>
      <w:r w:rsidRPr="00693152">
        <w:rPr>
          <w:rFonts w:ascii="Century Gothic" w:hAnsi="Century Gothic"/>
        </w:rPr>
        <w:t xml:space="preserve">Third-party wheeling refers to a financial arrangement in the electricity industry where a generator sells the electrical energy they produce to another party, who is not the utility company or the municipality. This transaction involves the delivery of electricity from the generator's site to the buyer's site, utilizing the existing distribution or transmission infrastructure provided by the utility company or the licensee. During third-party wheeling, the energy </w:t>
      </w:r>
      <w:r w:rsidRPr="00693152">
        <w:rPr>
          <w:rFonts w:ascii="Century Gothic" w:hAnsi="Century Gothic"/>
        </w:rPr>
        <w:lastRenderedPageBreak/>
        <w:t>produced by the generator is measured by both the generator's meter and the licensee's meter at the generator's site. This energy, known as wheeled energy, is then sold to the buyer located at a different site. The electricity is transmitted and delivered to the buyer through the licensee's networks, ensuring the flow of power from the generator to the end customer. Third-party wheeling enables generators and traders to participate in the electricity market by leveraging the infrastructure and services provided by the licensee or utility company. It allows for the efficient transfer and sale of electrical energy, facilitating competition and offering consumers alternative energy providers outside of the traditional utility companies like Eskom or the municipality.</w:t>
      </w:r>
    </w:p>
    <w:p w14:paraId="5B01683D" w14:textId="6E4B4850" w:rsidR="00F27A93" w:rsidRDefault="00F27A93" w:rsidP="00693152">
      <w:pPr>
        <w:spacing w:before="120" w:line="240" w:lineRule="auto"/>
        <w:rPr>
          <w:rFonts w:ascii="Century Gothic" w:hAnsi="Century Gothic"/>
        </w:rPr>
      </w:pPr>
      <w:r w:rsidRPr="00F27A93">
        <w:rPr>
          <w:noProof/>
        </w:rPr>
        <w:drawing>
          <wp:inline distT="0" distB="0" distL="0" distR="0" wp14:anchorId="5922178D" wp14:editId="444D9B44">
            <wp:extent cx="5836920" cy="2542540"/>
            <wp:effectExtent l="76200" t="76200" r="125730" b="1244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36920" cy="25425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27BB1F" w14:textId="692ECBD0" w:rsidR="00693152" w:rsidRDefault="00693152" w:rsidP="00693152">
      <w:pPr>
        <w:spacing w:before="120" w:line="240" w:lineRule="auto"/>
        <w:rPr>
          <w:rFonts w:ascii="Century Gothic" w:hAnsi="Century Gothic"/>
        </w:rPr>
      </w:pPr>
    </w:p>
    <w:p w14:paraId="51407989" w14:textId="10F0FF7C" w:rsidR="00E83544" w:rsidRPr="003D2E57" w:rsidRDefault="00E83544" w:rsidP="00E83544">
      <w:pPr>
        <w:keepNext/>
        <w:spacing w:before="120" w:line="240" w:lineRule="auto"/>
        <w:rPr>
          <w:rFonts w:ascii="Century Gothic" w:hAnsi="Century Gothic"/>
        </w:rPr>
      </w:pPr>
      <w:r w:rsidRPr="003D2E57">
        <w:rPr>
          <w:rFonts w:ascii="Century Gothic" w:hAnsi="Century Gothic"/>
        </w:rPr>
        <w:t xml:space="preserve">The purpose of this document is to provide a detailed guideline for the Municipality to establish processes to implement the rules and principles that will enable third-party wheeling transactions between Generators and </w:t>
      </w:r>
      <w:r>
        <w:rPr>
          <w:rFonts w:ascii="Century Gothic" w:hAnsi="Century Gothic"/>
        </w:rPr>
        <w:t>Off-taker</w:t>
      </w:r>
      <w:r w:rsidRPr="003D2E57">
        <w:rPr>
          <w:rFonts w:ascii="Century Gothic" w:hAnsi="Century Gothic"/>
        </w:rPr>
        <w:t>s</w:t>
      </w:r>
      <w:r w:rsidR="009700CB">
        <w:rPr>
          <w:rFonts w:ascii="Century Gothic" w:hAnsi="Century Gothic"/>
        </w:rPr>
        <w:t xml:space="preserve"> (</w:t>
      </w:r>
      <w:r w:rsidR="00703F7A">
        <w:rPr>
          <w:rFonts w:ascii="Century Gothic" w:hAnsi="Century Gothic"/>
        </w:rPr>
        <w:t>i.e.,</w:t>
      </w:r>
      <w:r w:rsidR="009700CB">
        <w:rPr>
          <w:rFonts w:ascii="Century Gothic" w:hAnsi="Century Gothic"/>
        </w:rPr>
        <w:t xml:space="preserve"> in this case the municipal customer)</w:t>
      </w:r>
      <w:r w:rsidRPr="003D2E57">
        <w:rPr>
          <w:rFonts w:ascii="Century Gothic" w:hAnsi="Century Gothic"/>
        </w:rPr>
        <w:t>, while ensuring compliance with national policies and legislation, such as the Electricity Pricing Policy (EPP) and the Electricity Regulation Act (ERA). Third-party wheeling will enable customers and generators to buy and sell electricity from sources other than their licensed service provider (Licensee), which will promote customer choice. With the increasing global awareness of climate change and the drive towards carbon neutrality, municipalities must not hinder the growth of the green economy. The cost of renewable energy continues to decrease yearly, making wheeling an attractive method for municipal customers to transact with third-party generators. It is imperative for municipalities to develop tariffs and regulations to effectively regulate these transactions.</w:t>
      </w:r>
    </w:p>
    <w:p w14:paraId="31836333" w14:textId="160EFDF0" w:rsidR="00E83544" w:rsidRDefault="00E83544" w:rsidP="00E83544">
      <w:pPr>
        <w:keepNext/>
        <w:spacing w:before="120" w:line="240" w:lineRule="auto"/>
        <w:rPr>
          <w:rFonts w:ascii="Century Gothic" w:hAnsi="Century Gothic"/>
        </w:rPr>
      </w:pPr>
      <w:r w:rsidRPr="003D2E57">
        <w:rPr>
          <w:rFonts w:ascii="Century Gothic" w:hAnsi="Century Gothic"/>
        </w:rPr>
        <w:t>The annual high tariff increases and the current energy crisis resulting in frequent load shedding necessitate</w:t>
      </w:r>
      <w:r w:rsidR="00EB14E7">
        <w:rPr>
          <w:rFonts w:ascii="Century Gothic" w:hAnsi="Century Gothic"/>
        </w:rPr>
        <w:t>s</w:t>
      </w:r>
      <w:r w:rsidRPr="003D2E57">
        <w:rPr>
          <w:rFonts w:ascii="Century Gothic" w:hAnsi="Century Gothic"/>
        </w:rPr>
        <w:t xml:space="preserve"> additional generation capacity. Wheeling offers a solution that allows the private sector to contract with electrical customers while ensuring that municipalities recover their cost of supply. Wheeling allows for the transmission of electricity from a third-party generator over the municipal grid to a customer, without the generator having to physically connect to the </w:t>
      </w:r>
      <w:r w:rsidR="003C52EF">
        <w:rPr>
          <w:rFonts w:ascii="Century Gothic" w:hAnsi="Century Gothic"/>
        </w:rPr>
        <w:t>customer</w:t>
      </w:r>
      <w:r w:rsidRPr="003D2E57">
        <w:rPr>
          <w:rFonts w:ascii="Century Gothic" w:hAnsi="Century Gothic"/>
        </w:rPr>
        <w:t>. The municipality acts as the intermediary between the generator and the customer, providing access to the grid and billing both parties for the use of the grid infrastructure. . The municipality can charge a wheeling tariff to the generator and customer, which covers the cost of using the grid infrastructure, including the transmission and distribution costs. This tariff is set at a level that ensures the municipality recovers its cost of supply</w:t>
      </w:r>
      <w:r w:rsidR="00C12499">
        <w:rPr>
          <w:rFonts w:ascii="Century Gothic" w:hAnsi="Century Gothic"/>
        </w:rPr>
        <w:t xml:space="preserve"> </w:t>
      </w:r>
      <w:r w:rsidR="00C12499" w:rsidRPr="003D2E57">
        <w:rPr>
          <w:rFonts w:ascii="Century Gothic" w:hAnsi="Century Gothic"/>
        </w:rPr>
        <w:t>while enabling green economic growth</w:t>
      </w:r>
      <w:r w:rsidRPr="003D2E57">
        <w:rPr>
          <w:rFonts w:ascii="Century Gothic" w:hAnsi="Century Gothic"/>
        </w:rPr>
        <w:t xml:space="preserve">. In this way, wheeling provides a cost-effective solution for the private sector </w:t>
      </w:r>
      <w:r w:rsidRPr="003D2E57">
        <w:rPr>
          <w:rFonts w:ascii="Century Gothic" w:hAnsi="Century Gothic"/>
        </w:rPr>
        <w:lastRenderedPageBreak/>
        <w:t xml:space="preserve">to contract with electrical customers, without the need for the generator to invest in their own transmission infrastructure. </w:t>
      </w:r>
    </w:p>
    <w:p w14:paraId="4FBFA1A3" w14:textId="5E8EA509" w:rsidR="00163DEC" w:rsidRPr="003D2E57" w:rsidRDefault="00163DEC" w:rsidP="00163DEC">
      <w:pPr>
        <w:keepNext/>
        <w:spacing w:before="120" w:line="240" w:lineRule="auto"/>
        <w:rPr>
          <w:rFonts w:ascii="Century Gothic" w:hAnsi="Century Gothic"/>
        </w:rPr>
      </w:pPr>
      <w:r w:rsidRPr="003D2E57">
        <w:rPr>
          <w:rFonts w:ascii="Century Gothic" w:hAnsi="Century Gothic"/>
        </w:rPr>
        <w:t>The following are some of the benefits of third-party wheeling:</w:t>
      </w:r>
    </w:p>
    <w:p w14:paraId="417F197E" w14:textId="77777777" w:rsidR="00F942E1" w:rsidRPr="00F942E1" w:rsidRDefault="00F942E1" w:rsidP="00F942E1">
      <w:pPr>
        <w:keepNext/>
        <w:spacing w:before="120" w:line="240" w:lineRule="auto"/>
        <w:ind w:left="360"/>
        <w:rPr>
          <w:rFonts w:ascii="Century Gothic" w:hAnsi="Century Gothic"/>
        </w:rPr>
      </w:pPr>
      <w:r w:rsidRPr="00F942E1">
        <w:rPr>
          <w:rFonts w:ascii="Century Gothic" w:hAnsi="Century Gothic"/>
        </w:rPr>
        <w:t>Financial and Economic Advantages:</w:t>
      </w:r>
    </w:p>
    <w:p w14:paraId="4401DBB4" w14:textId="77777777" w:rsidR="00F942E1" w:rsidRPr="00F942E1" w:rsidRDefault="00F942E1" w:rsidP="00871EE8">
      <w:pPr>
        <w:keepNext/>
        <w:numPr>
          <w:ilvl w:val="0"/>
          <w:numId w:val="66"/>
        </w:numPr>
        <w:tabs>
          <w:tab w:val="clear" w:pos="720"/>
          <w:tab w:val="num" w:pos="1080"/>
        </w:tabs>
        <w:spacing w:before="120" w:line="240" w:lineRule="auto"/>
        <w:ind w:left="1080"/>
        <w:rPr>
          <w:rFonts w:ascii="Century Gothic" w:hAnsi="Century Gothic"/>
        </w:rPr>
      </w:pPr>
      <w:r w:rsidRPr="00F942E1">
        <w:rPr>
          <w:rFonts w:ascii="Century Gothic" w:hAnsi="Century Gothic"/>
        </w:rPr>
        <w:t>Revenue Generation: Third-party wheeling introduces new revenue streams through charges, fees, and connection costs. These funds contribute to local infrastructure development and community projects.</w:t>
      </w:r>
    </w:p>
    <w:p w14:paraId="16565592" w14:textId="77777777" w:rsidR="00F942E1" w:rsidRPr="00F942E1" w:rsidRDefault="00F942E1" w:rsidP="00871EE8">
      <w:pPr>
        <w:keepNext/>
        <w:numPr>
          <w:ilvl w:val="0"/>
          <w:numId w:val="66"/>
        </w:numPr>
        <w:tabs>
          <w:tab w:val="clear" w:pos="720"/>
          <w:tab w:val="num" w:pos="1080"/>
        </w:tabs>
        <w:spacing w:before="120" w:line="240" w:lineRule="auto"/>
        <w:ind w:left="1080"/>
        <w:rPr>
          <w:rFonts w:ascii="Century Gothic" w:hAnsi="Century Gothic"/>
        </w:rPr>
      </w:pPr>
      <w:r w:rsidRPr="00F942E1">
        <w:rPr>
          <w:rFonts w:ascii="Century Gothic" w:hAnsi="Century Gothic"/>
        </w:rPr>
        <w:t>Economic Growth: Encouraging private investments in generation stimulates job creation and overall economic activity within the municipality.</w:t>
      </w:r>
    </w:p>
    <w:p w14:paraId="091D78F7" w14:textId="77777777" w:rsidR="00F942E1" w:rsidRPr="00F942E1" w:rsidRDefault="00F942E1" w:rsidP="00871EE8">
      <w:pPr>
        <w:keepNext/>
        <w:numPr>
          <w:ilvl w:val="0"/>
          <w:numId w:val="66"/>
        </w:numPr>
        <w:tabs>
          <w:tab w:val="clear" w:pos="720"/>
          <w:tab w:val="num" w:pos="1080"/>
        </w:tabs>
        <w:spacing w:before="120" w:line="240" w:lineRule="auto"/>
        <w:ind w:left="1080"/>
        <w:rPr>
          <w:rFonts w:ascii="Century Gothic" w:hAnsi="Century Gothic"/>
        </w:rPr>
      </w:pPr>
      <w:r w:rsidRPr="00F942E1">
        <w:rPr>
          <w:rFonts w:ascii="Century Gothic" w:hAnsi="Century Gothic"/>
        </w:rPr>
        <w:t>Incentivizing Customer Retention: Offering green and cost-effective electricity choices incentivizes customers to remain connected to the municipality's grid.</w:t>
      </w:r>
    </w:p>
    <w:p w14:paraId="4AB654AD" w14:textId="77777777" w:rsidR="00F942E1" w:rsidRPr="00F942E1" w:rsidRDefault="00F942E1" w:rsidP="00871EE8">
      <w:pPr>
        <w:keepNext/>
        <w:numPr>
          <w:ilvl w:val="0"/>
          <w:numId w:val="66"/>
        </w:numPr>
        <w:tabs>
          <w:tab w:val="clear" w:pos="720"/>
          <w:tab w:val="num" w:pos="1080"/>
        </w:tabs>
        <w:spacing w:before="120" w:line="240" w:lineRule="auto"/>
        <w:ind w:left="1080"/>
        <w:rPr>
          <w:rFonts w:ascii="Century Gothic" w:hAnsi="Century Gothic"/>
        </w:rPr>
      </w:pPr>
      <w:r w:rsidRPr="00F942E1">
        <w:rPr>
          <w:rFonts w:ascii="Century Gothic" w:hAnsi="Century Gothic"/>
        </w:rPr>
        <w:t>Local Economic Development: Projects within the municipality create job opportunities and foster economic growth.</w:t>
      </w:r>
    </w:p>
    <w:p w14:paraId="4FDB4C7C" w14:textId="77777777" w:rsidR="00F942E1" w:rsidRPr="00F942E1" w:rsidRDefault="00F942E1" w:rsidP="00F942E1">
      <w:pPr>
        <w:keepNext/>
        <w:spacing w:before="120" w:line="240" w:lineRule="auto"/>
        <w:ind w:left="360"/>
        <w:rPr>
          <w:rFonts w:ascii="Century Gothic" w:hAnsi="Century Gothic"/>
        </w:rPr>
      </w:pPr>
      <w:r w:rsidRPr="00F942E1">
        <w:rPr>
          <w:rFonts w:ascii="Century Gothic" w:hAnsi="Century Gothic"/>
        </w:rPr>
        <w:t>Energy Security and Sustainability:</w:t>
      </w:r>
    </w:p>
    <w:p w14:paraId="2B121082" w14:textId="77777777" w:rsidR="00F942E1" w:rsidRPr="00F942E1" w:rsidRDefault="00F942E1" w:rsidP="00871EE8">
      <w:pPr>
        <w:keepNext/>
        <w:numPr>
          <w:ilvl w:val="0"/>
          <w:numId w:val="67"/>
        </w:numPr>
        <w:tabs>
          <w:tab w:val="clear" w:pos="720"/>
          <w:tab w:val="num" w:pos="1080"/>
        </w:tabs>
        <w:spacing w:before="120" w:line="240" w:lineRule="auto"/>
        <w:ind w:left="1080"/>
        <w:rPr>
          <w:rFonts w:ascii="Century Gothic" w:hAnsi="Century Gothic"/>
        </w:rPr>
      </w:pPr>
      <w:r w:rsidRPr="00F942E1">
        <w:rPr>
          <w:rFonts w:ascii="Century Gothic" w:hAnsi="Century Gothic"/>
        </w:rPr>
        <w:t>Energy Security: Private generation projects diversify energy sources, reducing vulnerability to supply disruptions and load shedding.</w:t>
      </w:r>
    </w:p>
    <w:p w14:paraId="6F100E6F" w14:textId="77777777" w:rsidR="00F942E1" w:rsidRPr="00F942E1" w:rsidRDefault="00F942E1" w:rsidP="00871EE8">
      <w:pPr>
        <w:keepNext/>
        <w:numPr>
          <w:ilvl w:val="0"/>
          <w:numId w:val="67"/>
        </w:numPr>
        <w:tabs>
          <w:tab w:val="clear" w:pos="720"/>
          <w:tab w:val="num" w:pos="1080"/>
        </w:tabs>
        <w:spacing w:before="120" w:line="240" w:lineRule="auto"/>
        <w:ind w:left="1080"/>
        <w:rPr>
          <w:rFonts w:ascii="Century Gothic" w:hAnsi="Century Gothic"/>
        </w:rPr>
      </w:pPr>
      <w:r w:rsidRPr="00F942E1">
        <w:rPr>
          <w:rFonts w:ascii="Century Gothic" w:hAnsi="Century Gothic"/>
        </w:rPr>
        <w:t>Decarbonization and Sustainability: Wheeling enables customers to access clean energy, aligning with sustainability targets and reducing carbon footprints.</w:t>
      </w:r>
    </w:p>
    <w:p w14:paraId="5606B5E7" w14:textId="77777777" w:rsidR="00F942E1" w:rsidRPr="00F942E1" w:rsidRDefault="00F942E1" w:rsidP="00F942E1">
      <w:pPr>
        <w:keepNext/>
        <w:spacing w:before="120" w:line="240" w:lineRule="auto"/>
        <w:ind w:left="360"/>
        <w:rPr>
          <w:rFonts w:ascii="Century Gothic" w:hAnsi="Century Gothic"/>
        </w:rPr>
      </w:pPr>
      <w:r w:rsidRPr="00F942E1">
        <w:rPr>
          <w:rFonts w:ascii="Century Gothic" w:hAnsi="Century Gothic"/>
        </w:rPr>
        <w:t>Technological Advancement and Innovation:</w:t>
      </w:r>
    </w:p>
    <w:p w14:paraId="5A7D493D" w14:textId="77777777" w:rsidR="00F942E1" w:rsidRPr="00F942E1" w:rsidRDefault="00F942E1" w:rsidP="00871EE8">
      <w:pPr>
        <w:keepNext/>
        <w:numPr>
          <w:ilvl w:val="0"/>
          <w:numId w:val="68"/>
        </w:numPr>
        <w:tabs>
          <w:tab w:val="clear" w:pos="720"/>
          <w:tab w:val="num" w:pos="1080"/>
        </w:tabs>
        <w:spacing w:before="120" w:line="240" w:lineRule="auto"/>
        <w:ind w:left="1080"/>
        <w:rPr>
          <w:rFonts w:ascii="Century Gothic" w:hAnsi="Century Gothic"/>
        </w:rPr>
      </w:pPr>
      <w:r w:rsidRPr="00F942E1">
        <w:rPr>
          <w:rFonts w:ascii="Century Gothic" w:hAnsi="Century Gothic"/>
        </w:rPr>
        <w:t>Technological Leadership: Partnering with private generators introduces advanced technologies and innovation, positioning the municipality as a technological hub.</w:t>
      </w:r>
    </w:p>
    <w:p w14:paraId="136F9FB3" w14:textId="77777777" w:rsidR="00F942E1" w:rsidRPr="00F942E1" w:rsidRDefault="00F942E1" w:rsidP="00871EE8">
      <w:pPr>
        <w:keepNext/>
        <w:numPr>
          <w:ilvl w:val="0"/>
          <w:numId w:val="68"/>
        </w:numPr>
        <w:tabs>
          <w:tab w:val="clear" w:pos="720"/>
          <w:tab w:val="num" w:pos="1080"/>
        </w:tabs>
        <w:spacing w:before="120" w:line="240" w:lineRule="auto"/>
        <w:ind w:left="1080"/>
        <w:rPr>
          <w:rFonts w:ascii="Century Gothic" w:hAnsi="Century Gothic"/>
        </w:rPr>
      </w:pPr>
      <w:r w:rsidRPr="00F942E1">
        <w:rPr>
          <w:rFonts w:ascii="Century Gothic" w:hAnsi="Century Gothic"/>
        </w:rPr>
        <w:t>Flexibility and Customer Choice: Customers gain flexibility by sourcing energy from diverse generation facilities, enhancing energy procurement options and promoting customer choice.</w:t>
      </w:r>
    </w:p>
    <w:p w14:paraId="3C4E5724" w14:textId="77777777" w:rsidR="00F942E1" w:rsidRPr="00F942E1" w:rsidRDefault="00F942E1" w:rsidP="00F942E1">
      <w:pPr>
        <w:keepNext/>
        <w:spacing w:before="120" w:line="240" w:lineRule="auto"/>
        <w:ind w:left="360"/>
        <w:rPr>
          <w:rFonts w:ascii="Century Gothic" w:hAnsi="Century Gothic"/>
        </w:rPr>
      </w:pPr>
      <w:r w:rsidRPr="00F942E1">
        <w:rPr>
          <w:rFonts w:ascii="Century Gothic" w:hAnsi="Century Gothic"/>
        </w:rPr>
        <w:t>Collaboration and Grid Enhancements:</w:t>
      </w:r>
    </w:p>
    <w:p w14:paraId="2471D400" w14:textId="77777777" w:rsidR="00F942E1" w:rsidRPr="00F942E1" w:rsidRDefault="00F942E1" w:rsidP="00871EE8">
      <w:pPr>
        <w:keepNext/>
        <w:numPr>
          <w:ilvl w:val="0"/>
          <w:numId w:val="69"/>
        </w:numPr>
        <w:tabs>
          <w:tab w:val="clear" w:pos="720"/>
          <w:tab w:val="num" w:pos="1080"/>
        </w:tabs>
        <w:spacing w:before="120" w:line="240" w:lineRule="auto"/>
        <w:ind w:left="1080"/>
        <w:rPr>
          <w:rFonts w:ascii="Century Gothic" w:hAnsi="Century Gothic"/>
        </w:rPr>
      </w:pPr>
      <w:r w:rsidRPr="00F942E1">
        <w:rPr>
          <w:rFonts w:ascii="Century Gothic" w:hAnsi="Century Gothic"/>
        </w:rPr>
        <w:t>Collaboration and Knowledge Exchange: Partnerships with energy generators facilitate knowledge sharing, fostering a supportive energy ecosystem.</w:t>
      </w:r>
    </w:p>
    <w:p w14:paraId="3DDEC843" w14:textId="77777777" w:rsidR="00F942E1" w:rsidRPr="00F942E1" w:rsidRDefault="00F942E1" w:rsidP="00871EE8">
      <w:pPr>
        <w:keepNext/>
        <w:numPr>
          <w:ilvl w:val="0"/>
          <w:numId w:val="69"/>
        </w:numPr>
        <w:tabs>
          <w:tab w:val="clear" w:pos="720"/>
          <w:tab w:val="num" w:pos="1080"/>
        </w:tabs>
        <w:spacing w:before="120" w:line="240" w:lineRule="auto"/>
        <w:ind w:left="1080"/>
        <w:rPr>
          <w:rFonts w:ascii="Century Gothic" w:hAnsi="Century Gothic"/>
        </w:rPr>
      </w:pPr>
      <w:r w:rsidRPr="00F942E1">
        <w:rPr>
          <w:rFonts w:ascii="Century Gothic" w:hAnsi="Century Gothic"/>
        </w:rPr>
        <w:t>Infrastructure Development: Private investments in generation can lead to shared grid infrastructure enhancements, benefiting both the municipality and energy projects.</w:t>
      </w:r>
    </w:p>
    <w:p w14:paraId="26B57806" w14:textId="77777777" w:rsidR="00F942E1" w:rsidRPr="00F942E1" w:rsidRDefault="00F942E1" w:rsidP="00F942E1">
      <w:pPr>
        <w:keepNext/>
        <w:spacing w:before="120" w:line="240" w:lineRule="auto"/>
        <w:ind w:left="360"/>
        <w:rPr>
          <w:rFonts w:ascii="Century Gothic" w:hAnsi="Century Gothic"/>
        </w:rPr>
      </w:pPr>
      <w:r w:rsidRPr="00F942E1">
        <w:rPr>
          <w:rFonts w:ascii="Century Gothic" w:hAnsi="Century Gothic"/>
        </w:rPr>
        <w:t>Financial Efficiency and Strategic Positioning:</w:t>
      </w:r>
    </w:p>
    <w:p w14:paraId="1ACA552D" w14:textId="77777777" w:rsidR="00F942E1" w:rsidRPr="00F942E1" w:rsidRDefault="00F942E1" w:rsidP="00871EE8">
      <w:pPr>
        <w:keepNext/>
        <w:numPr>
          <w:ilvl w:val="0"/>
          <w:numId w:val="70"/>
        </w:numPr>
        <w:tabs>
          <w:tab w:val="clear" w:pos="720"/>
          <w:tab w:val="num" w:pos="1080"/>
        </w:tabs>
        <w:spacing w:before="120" w:line="240" w:lineRule="auto"/>
        <w:ind w:left="1080"/>
        <w:rPr>
          <w:rFonts w:ascii="Century Gothic" w:hAnsi="Century Gothic"/>
        </w:rPr>
      </w:pPr>
      <w:r w:rsidRPr="00F942E1">
        <w:rPr>
          <w:rFonts w:ascii="Century Gothic" w:hAnsi="Century Gothic"/>
        </w:rPr>
        <w:t>Cost Efficiency: Wheeling potentially reduces customer electricity expenses, enhancing financial efficiency for consumers.</w:t>
      </w:r>
    </w:p>
    <w:p w14:paraId="5F324E67" w14:textId="77777777" w:rsidR="00F942E1" w:rsidRPr="00F942E1" w:rsidRDefault="00F942E1" w:rsidP="00871EE8">
      <w:pPr>
        <w:keepNext/>
        <w:numPr>
          <w:ilvl w:val="0"/>
          <w:numId w:val="70"/>
        </w:numPr>
        <w:tabs>
          <w:tab w:val="clear" w:pos="720"/>
          <w:tab w:val="num" w:pos="1080"/>
        </w:tabs>
        <w:spacing w:before="120" w:line="240" w:lineRule="auto"/>
        <w:ind w:left="1080"/>
        <w:rPr>
          <w:rFonts w:ascii="Century Gothic" w:hAnsi="Century Gothic"/>
        </w:rPr>
      </w:pPr>
      <w:r w:rsidRPr="00F942E1">
        <w:rPr>
          <w:rFonts w:ascii="Century Gothic" w:hAnsi="Century Gothic"/>
        </w:rPr>
        <w:t>Price Certainty: Long-term power purchase agreements via wheeling offer customers stable and predictable electricity costs over time.</w:t>
      </w:r>
    </w:p>
    <w:p w14:paraId="27F6A1F5" w14:textId="77777777" w:rsidR="00F942E1" w:rsidRPr="00F942E1" w:rsidRDefault="00F942E1" w:rsidP="00871EE8">
      <w:pPr>
        <w:keepNext/>
        <w:numPr>
          <w:ilvl w:val="0"/>
          <w:numId w:val="70"/>
        </w:numPr>
        <w:tabs>
          <w:tab w:val="clear" w:pos="720"/>
          <w:tab w:val="num" w:pos="1080"/>
        </w:tabs>
        <w:spacing w:before="120" w:line="240" w:lineRule="auto"/>
        <w:ind w:left="1080"/>
        <w:rPr>
          <w:rFonts w:ascii="Century Gothic" w:hAnsi="Century Gothic"/>
        </w:rPr>
      </w:pPr>
      <w:r w:rsidRPr="00F942E1">
        <w:rPr>
          <w:rFonts w:ascii="Century Gothic" w:hAnsi="Century Gothic"/>
        </w:rPr>
        <w:t>Optimized Procurement: Licensees can optimize their own procurement costs, enhancing financial performance.</w:t>
      </w:r>
    </w:p>
    <w:p w14:paraId="3BAFF3FE" w14:textId="77777777" w:rsidR="00F942E1" w:rsidRPr="00F942E1" w:rsidRDefault="00F942E1" w:rsidP="00F942E1">
      <w:pPr>
        <w:keepNext/>
        <w:spacing w:before="120" w:line="240" w:lineRule="auto"/>
        <w:ind w:left="360"/>
        <w:rPr>
          <w:rFonts w:ascii="Century Gothic" w:hAnsi="Century Gothic"/>
        </w:rPr>
      </w:pPr>
      <w:r w:rsidRPr="00F942E1">
        <w:rPr>
          <w:rFonts w:ascii="Century Gothic" w:hAnsi="Century Gothic"/>
        </w:rPr>
        <w:t>Regulatory Compliance and Independence:</w:t>
      </w:r>
    </w:p>
    <w:p w14:paraId="683035C2" w14:textId="77777777" w:rsidR="00F942E1" w:rsidRPr="00F942E1" w:rsidRDefault="00F942E1" w:rsidP="00871EE8">
      <w:pPr>
        <w:keepNext/>
        <w:numPr>
          <w:ilvl w:val="0"/>
          <w:numId w:val="71"/>
        </w:numPr>
        <w:tabs>
          <w:tab w:val="clear" w:pos="720"/>
          <w:tab w:val="num" w:pos="1080"/>
        </w:tabs>
        <w:spacing w:before="120" w:line="240" w:lineRule="auto"/>
        <w:ind w:left="1080"/>
        <w:rPr>
          <w:rFonts w:ascii="Century Gothic" w:hAnsi="Century Gothic"/>
        </w:rPr>
      </w:pPr>
      <w:r w:rsidRPr="00F942E1">
        <w:rPr>
          <w:rFonts w:ascii="Century Gothic" w:hAnsi="Century Gothic"/>
        </w:rPr>
        <w:t>Regulatory Compliance: Clear guidelines demonstrate commitment to regulations, enhancing the municipality's reputation and attracting further investment.</w:t>
      </w:r>
    </w:p>
    <w:p w14:paraId="1C8B2F31" w14:textId="77777777" w:rsidR="00F942E1" w:rsidRPr="00F942E1" w:rsidRDefault="00F942E1" w:rsidP="00871EE8">
      <w:pPr>
        <w:keepNext/>
        <w:numPr>
          <w:ilvl w:val="0"/>
          <w:numId w:val="71"/>
        </w:numPr>
        <w:tabs>
          <w:tab w:val="clear" w:pos="720"/>
          <w:tab w:val="num" w:pos="1080"/>
        </w:tabs>
        <w:spacing w:before="120" w:line="240" w:lineRule="auto"/>
        <w:ind w:left="1080"/>
        <w:rPr>
          <w:rFonts w:ascii="Century Gothic" w:hAnsi="Century Gothic"/>
        </w:rPr>
      </w:pPr>
      <w:r w:rsidRPr="00F942E1">
        <w:rPr>
          <w:rFonts w:ascii="Century Gothic" w:hAnsi="Century Gothic"/>
        </w:rPr>
        <w:t>Reduced Reliance on Eskom: Wheeling reduces dependence on external energy suppliers, promoting local energy independence.</w:t>
      </w:r>
    </w:p>
    <w:p w14:paraId="229E2ADE" w14:textId="77777777" w:rsidR="00F942E1" w:rsidRPr="00F942E1" w:rsidRDefault="00F942E1" w:rsidP="00F942E1">
      <w:pPr>
        <w:keepNext/>
        <w:spacing w:before="120" w:line="240" w:lineRule="auto"/>
        <w:ind w:left="360"/>
        <w:rPr>
          <w:rFonts w:ascii="Century Gothic" w:hAnsi="Century Gothic"/>
        </w:rPr>
      </w:pPr>
      <w:r w:rsidRPr="00F942E1">
        <w:rPr>
          <w:rFonts w:ascii="Century Gothic" w:hAnsi="Century Gothic"/>
        </w:rPr>
        <w:t>Environmental and Reporting Benefits:</w:t>
      </w:r>
    </w:p>
    <w:p w14:paraId="28DF45BD" w14:textId="77777777" w:rsidR="00F942E1" w:rsidRPr="00F942E1" w:rsidRDefault="00F942E1" w:rsidP="00871EE8">
      <w:pPr>
        <w:keepNext/>
        <w:numPr>
          <w:ilvl w:val="0"/>
          <w:numId w:val="72"/>
        </w:numPr>
        <w:tabs>
          <w:tab w:val="clear" w:pos="720"/>
          <w:tab w:val="num" w:pos="1080"/>
        </w:tabs>
        <w:spacing w:before="120" w:line="240" w:lineRule="auto"/>
        <w:ind w:left="1080"/>
        <w:rPr>
          <w:rFonts w:ascii="Century Gothic" w:hAnsi="Century Gothic"/>
        </w:rPr>
      </w:pPr>
      <w:r w:rsidRPr="00F942E1">
        <w:rPr>
          <w:rFonts w:ascii="Century Gothic" w:hAnsi="Century Gothic"/>
        </w:rPr>
        <w:t>Renewable Energy Certificates (RECs): Generators/customers can obtain RECs, showcasing their commitment to renewable energy.</w:t>
      </w:r>
    </w:p>
    <w:p w14:paraId="18833B41" w14:textId="77777777" w:rsidR="00F942E1" w:rsidRPr="00F942E1" w:rsidRDefault="00F942E1" w:rsidP="00871EE8">
      <w:pPr>
        <w:keepNext/>
        <w:numPr>
          <w:ilvl w:val="0"/>
          <w:numId w:val="72"/>
        </w:numPr>
        <w:tabs>
          <w:tab w:val="clear" w:pos="720"/>
          <w:tab w:val="num" w:pos="1080"/>
        </w:tabs>
        <w:spacing w:before="120" w:line="240" w:lineRule="auto"/>
        <w:ind w:left="1080"/>
        <w:rPr>
          <w:rFonts w:ascii="Century Gothic" w:hAnsi="Century Gothic"/>
        </w:rPr>
      </w:pPr>
      <w:r w:rsidRPr="00F942E1">
        <w:rPr>
          <w:rFonts w:ascii="Century Gothic" w:hAnsi="Century Gothic"/>
        </w:rPr>
        <w:lastRenderedPageBreak/>
        <w:t>Sustainability Reporting: Customers using green power can leverage it for sustainability reporting and meeting environmental targets.</w:t>
      </w:r>
    </w:p>
    <w:p w14:paraId="79CC4F8B" w14:textId="77777777" w:rsidR="00871EE8" w:rsidRDefault="00871EE8" w:rsidP="005B674D">
      <w:pPr>
        <w:keepNext/>
        <w:spacing w:before="120" w:line="240" w:lineRule="auto"/>
        <w:rPr>
          <w:rFonts w:ascii="Century Gothic" w:hAnsi="Century Gothic"/>
        </w:rPr>
      </w:pPr>
      <w:r w:rsidRPr="00871EE8">
        <w:rPr>
          <w:rFonts w:ascii="Century Gothic" w:hAnsi="Century Gothic"/>
        </w:rPr>
        <w:t>In light of these diverse benefits, municipalities are well-positioned to establish robust wheeling guidelines. These guidelines not only cater to customer needs but also align with local development strategies, technological advancements, and broader energy sector enhancements. Furthermore, distribution licensees' commitment to non-discriminatory grid access fosters a dynamic and sustainable energy landscape</w:t>
      </w:r>
    </w:p>
    <w:p w14:paraId="38CD2D90" w14:textId="09902446" w:rsidR="005B674D" w:rsidRPr="005B674D" w:rsidRDefault="005B674D" w:rsidP="005B674D">
      <w:pPr>
        <w:keepNext/>
        <w:spacing w:before="120" w:line="240" w:lineRule="auto"/>
        <w:rPr>
          <w:rFonts w:ascii="Century Gothic" w:hAnsi="Century Gothic"/>
        </w:rPr>
      </w:pPr>
      <w:r w:rsidRPr="005B674D">
        <w:rPr>
          <w:rFonts w:ascii="Century Gothic" w:hAnsi="Century Gothic"/>
        </w:rPr>
        <w:t xml:space="preserve">There are </w:t>
      </w:r>
      <w:r w:rsidR="0089017D" w:rsidRPr="005B674D">
        <w:rPr>
          <w:rFonts w:ascii="Century Gothic" w:hAnsi="Century Gothic"/>
        </w:rPr>
        <w:t>various</w:t>
      </w:r>
      <w:r w:rsidRPr="005B674D">
        <w:rPr>
          <w:rFonts w:ascii="Century Gothic" w:hAnsi="Century Gothic"/>
        </w:rPr>
        <w:t xml:space="preserve"> scenarios that can occur in third-party wheeling depending on whether the Eskom or municipality network are used, and if an energy trader is involved – this will affect the agreements required, tariffs used, and billing methodologies. See section 8 for the different scenarios. </w:t>
      </w:r>
    </w:p>
    <w:p w14:paraId="193B61D3" w14:textId="5AB17B04" w:rsidR="008F3E49" w:rsidRPr="00E55368" w:rsidRDefault="00B655BD" w:rsidP="005F43F3">
      <w:pPr>
        <w:pStyle w:val="Heading1"/>
        <w:spacing w:before="120" w:line="240" w:lineRule="auto"/>
      </w:pPr>
      <w:bookmarkStart w:id="13" w:name="_Toc134598044"/>
      <w:bookmarkStart w:id="14" w:name="_Toc145484192"/>
      <w:r w:rsidRPr="00E55368">
        <w:t xml:space="preserve">Legal </w:t>
      </w:r>
      <w:r w:rsidR="005907CB">
        <w:t>&amp;</w:t>
      </w:r>
      <w:r w:rsidRPr="00E55368">
        <w:t xml:space="preserve"> Regulatory Framework</w:t>
      </w:r>
      <w:bookmarkEnd w:id="13"/>
      <w:bookmarkEnd w:id="14"/>
    </w:p>
    <w:p w14:paraId="16249F9D" w14:textId="77777777" w:rsidR="005F43F3" w:rsidRPr="00982985" w:rsidRDefault="005F43F3" w:rsidP="005F43F3">
      <w:pPr>
        <w:shd w:val="clear" w:color="auto" w:fill="F2F2F2" w:themeFill="background1" w:themeFillShade="F2"/>
        <w:spacing w:before="120" w:line="240" w:lineRule="auto"/>
        <w:rPr>
          <w:rFonts w:ascii="Century Gothic" w:hAnsi="Century Gothic"/>
          <w:b/>
          <w:bCs/>
          <w:i/>
          <w:iCs/>
          <w:u w:val="single"/>
        </w:rPr>
      </w:pPr>
      <w:r w:rsidRPr="00982985">
        <w:rPr>
          <w:rFonts w:ascii="Segoe UI Emoji" w:hAnsi="Segoe UI Emoji" w:cs="Segoe UI Emoji"/>
        </w:rPr>
        <w:t>🔍</w:t>
      </w:r>
      <w:r w:rsidRPr="00982985">
        <w:rPr>
          <w:rFonts w:ascii="Century Gothic" w:hAnsi="Century Gothic"/>
          <w:b/>
          <w:bCs/>
          <w:i/>
          <w:iCs/>
          <w:u w:val="single"/>
        </w:rPr>
        <w:t xml:space="preserve"> Explanatory notes: </w:t>
      </w:r>
    </w:p>
    <w:p w14:paraId="160C1A36" w14:textId="22F16F24" w:rsidR="005F43F3" w:rsidRPr="00982985" w:rsidRDefault="00DE52DF" w:rsidP="005F43F3">
      <w:pPr>
        <w:shd w:val="clear" w:color="auto" w:fill="F2F2F2" w:themeFill="background1" w:themeFillShade="F2"/>
        <w:spacing w:before="120" w:line="240" w:lineRule="auto"/>
        <w:rPr>
          <w:rFonts w:ascii="Century Gothic" w:hAnsi="Century Gothic"/>
          <w:i/>
          <w:iCs/>
        </w:rPr>
      </w:pPr>
      <w:r w:rsidRPr="00982985">
        <w:rPr>
          <w:rFonts w:ascii="Century Gothic" w:hAnsi="Century Gothic"/>
          <w:i/>
        </w:rPr>
        <w:t xml:space="preserve">Compliance with legal requirements and indemnity provisions </w:t>
      </w:r>
      <w:r w:rsidR="00F12B0B">
        <w:rPr>
          <w:rFonts w:ascii="Century Gothic" w:hAnsi="Century Gothic"/>
          <w:i/>
        </w:rPr>
        <w:t>are</w:t>
      </w:r>
      <w:r w:rsidRPr="00982985">
        <w:rPr>
          <w:rFonts w:ascii="Century Gothic" w:hAnsi="Century Gothic"/>
          <w:i/>
        </w:rPr>
        <w:t xml:space="preserve"> crucial to ensure a fair and equitable electricity market. Municipalities play a pivotal role in administering electricity reticulation, and it is essential that they adhere to the relevant legislation and regulations. </w:t>
      </w:r>
    </w:p>
    <w:p w14:paraId="69564ABA" w14:textId="77777777" w:rsidR="00DE52DF" w:rsidRPr="00982985" w:rsidRDefault="00DE52DF" w:rsidP="005F43F3">
      <w:pPr>
        <w:shd w:val="clear" w:color="auto" w:fill="F2F2F2" w:themeFill="background1" w:themeFillShade="F2"/>
        <w:spacing w:before="120" w:line="240" w:lineRule="auto"/>
        <w:rPr>
          <w:rFonts w:ascii="Century Gothic" w:hAnsi="Century Gothic"/>
          <w:i/>
        </w:rPr>
      </w:pPr>
      <w:r w:rsidRPr="00982985">
        <w:rPr>
          <w:rFonts w:ascii="Century Gothic" w:hAnsi="Century Gothic"/>
          <w:i/>
        </w:rPr>
        <w:t>This section provides an overview of the legal requirements for third-party access and open access transmission, including indemnity requirements and compliance with relevant legislation and regulations. It also discusses the technical requirements, the Constitution's requirements, and the conclusion that municipal adherence to the regulations and legal requirements is crucial to providing impartial, fair, and equitable services.</w:t>
      </w:r>
    </w:p>
    <w:p w14:paraId="2E7DBBDB" w14:textId="20FE6A4B" w:rsidR="005F43F3" w:rsidRPr="009E494F" w:rsidRDefault="005F43F3" w:rsidP="005F43F3">
      <w:pPr>
        <w:shd w:val="clear" w:color="auto" w:fill="F2F2F2" w:themeFill="background1" w:themeFillShade="F2"/>
        <w:spacing w:before="120" w:line="240" w:lineRule="auto"/>
        <w:rPr>
          <w:rFonts w:ascii="Century Gothic" w:hAnsi="Century Gothic"/>
          <w:i/>
          <w:iCs/>
        </w:rPr>
      </w:pPr>
      <w:r w:rsidRPr="009E494F">
        <w:rPr>
          <w:rFonts w:ascii="Century Gothic" w:hAnsi="Century Gothic"/>
          <w:i/>
          <w:iCs/>
        </w:rPr>
        <w:t xml:space="preserve">The key legislation that allows for third party wheeling is the </w:t>
      </w:r>
      <w:r w:rsidRPr="00831A39">
        <w:rPr>
          <w:rFonts w:ascii="Century Gothic" w:hAnsi="Century Gothic"/>
          <w:i/>
          <w:iCs/>
        </w:rPr>
        <w:t>Electricity Regulation Act (ERA), 2006 and soon to be published Third</w:t>
      </w:r>
      <w:r w:rsidR="00315BC5">
        <w:rPr>
          <w:rFonts w:ascii="Century Gothic" w:hAnsi="Century Gothic"/>
          <w:i/>
          <w:iCs/>
        </w:rPr>
        <w:t>-</w:t>
      </w:r>
      <w:r w:rsidRPr="00831A39">
        <w:rPr>
          <w:rFonts w:ascii="Century Gothic" w:hAnsi="Century Gothic"/>
          <w:i/>
          <w:iCs/>
        </w:rPr>
        <w:t>Party Wheeling Rules by NERSA. Below are extracts that the municipality can utilize from the ERA. Third Party</w:t>
      </w:r>
      <w:r w:rsidR="004263FD">
        <w:rPr>
          <w:rFonts w:ascii="Century Gothic" w:hAnsi="Century Gothic"/>
          <w:i/>
          <w:iCs/>
        </w:rPr>
        <w:t>-</w:t>
      </w:r>
      <w:r w:rsidRPr="00831A39">
        <w:rPr>
          <w:rFonts w:ascii="Century Gothic" w:hAnsi="Century Gothic"/>
          <w:i/>
          <w:iCs/>
        </w:rPr>
        <w:t>Wheeling Rules by NERSA are yet to be fully developed at this stage (June 2023) and hence has not been included in the below</w:t>
      </w:r>
      <w:r w:rsidR="000F0B65" w:rsidRPr="00831A39">
        <w:rPr>
          <w:rFonts w:ascii="Century Gothic" w:hAnsi="Century Gothic"/>
          <w:i/>
          <w:iCs/>
        </w:rPr>
        <w:t>. When these are rules are finalised</w:t>
      </w:r>
      <w:r w:rsidR="00213123">
        <w:rPr>
          <w:rFonts w:ascii="Century Gothic" w:hAnsi="Century Gothic"/>
          <w:i/>
          <w:iCs/>
        </w:rPr>
        <w:t>,</w:t>
      </w:r>
      <w:r w:rsidR="000F0B65" w:rsidRPr="00831A39">
        <w:rPr>
          <w:rFonts w:ascii="Century Gothic" w:hAnsi="Century Gothic"/>
          <w:i/>
          <w:iCs/>
        </w:rPr>
        <w:t xml:space="preserve"> the below section may need to be aligned to the rules accordingly. </w:t>
      </w:r>
    </w:p>
    <w:p w14:paraId="17A031FA" w14:textId="77777777" w:rsidR="005F43F3" w:rsidRPr="00AF79B1" w:rsidRDefault="005F43F3" w:rsidP="005F43F3">
      <w:pPr>
        <w:spacing w:before="120" w:line="240" w:lineRule="auto"/>
        <w:rPr>
          <w:rFonts w:ascii="Century Gothic" w:hAnsi="Century Gothic"/>
          <w:b/>
          <w:bCs/>
          <w:u w:val="single"/>
        </w:rPr>
      </w:pPr>
      <w:r w:rsidRPr="00FE49F7">
        <w:rPr>
          <w:rFonts w:ascii="Segoe UI Emoji" w:hAnsi="Segoe UI Emoji" w:cs="Segoe UI Emoji"/>
          <w:b/>
          <w:bCs/>
          <w:u w:val="single"/>
        </w:rPr>
        <w:t>💡</w:t>
      </w:r>
      <w:r w:rsidRPr="00FE49F7">
        <w:rPr>
          <w:rFonts w:ascii="Century Gothic" w:hAnsi="Century Gothic"/>
          <w:b/>
          <w:bCs/>
          <w:u w:val="single"/>
        </w:rPr>
        <w:t xml:space="preserve">Illustrative example </w:t>
      </w:r>
    </w:p>
    <w:p w14:paraId="77A9F472" w14:textId="77777777" w:rsidR="005F43F3" w:rsidRDefault="00DE52DF" w:rsidP="005F43F3">
      <w:pPr>
        <w:spacing w:before="120" w:line="240" w:lineRule="auto"/>
        <w:rPr>
          <w:rFonts w:ascii="Century Gothic" w:hAnsi="Century Gothic"/>
        </w:rPr>
      </w:pPr>
      <w:r w:rsidRPr="00A865C8">
        <w:rPr>
          <w:rFonts w:ascii="Century Gothic" w:hAnsi="Century Gothic"/>
        </w:rPr>
        <w:t>The Electricity Regulation Act, 2006 (Act No. 4 of 2006) or as amended requires that</w:t>
      </w:r>
      <w:r w:rsidR="005F43F3">
        <w:rPr>
          <w:rFonts w:ascii="Century Gothic" w:hAnsi="Century Gothic"/>
        </w:rPr>
        <w:t>:</w:t>
      </w:r>
      <w:r w:rsidR="005F43F3" w:rsidRPr="00A865C8">
        <w:rPr>
          <w:rFonts w:ascii="Century Gothic" w:hAnsi="Century Gothic"/>
        </w:rPr>
        <w:t xml:space="preserve"> </w:t>
      </w:r>
    </w:p>
    <w:p w14:paraId="4E13B532" w14:textId="77777777" w:rsidR="005F43F3" w:rsidRPr="001F35D9" w:rsidRDefault="005F43F3" w:rsidP="00871EE8">
      <w:pPr>
        <w:pStyle w:val="ListParagraph"/>
        <w:keepNext/>
        <w:numPr>
          <w:ilvl w:val="0"/>
          <w:numId w:val="5"/>
        </w:numPr>
        <w:spacing w:before="120" w:line="240" w:lineRule="auto"/>
        <w:ind w:left="284" w:hanging="284"/>
        <w:contextualSpacing w:val="0"/>
        <w:rPr>
          <w:rFonts w:ascii="Century Gothic" w:hAnsi="Century Gothic"/>
        </w:rPr>
      </w:pPr>
      <w:r w:rsidRPr="001F35D9">
        <w:rPr>
          <w:rFonts w:ascii="Century Gothic" w:hAnsi="Century Gothic"/>
        </w:rPr>
        <w:t>The</w:t>
      </w:r>
      <w:r w:rsidR="00DE52DF" w:rsidRPr="001F35D9">
        <w:rPr>
          <w:rFonts w:ascii="Century Gothic" w:hAnsi="Century Gothic"/>
        </w:rPr>
        <w:t xml:space="preserve"> transmission, distribution, and trading function of electricity supply be separately licensed and that the transmission or distribution function shall provide non-discriminatory network access to all users of the transmission or distribution system. </w:t>
      </w:r>
    </w:p>
    <w:p w14:paraId="651B1BB3" w14:textId="77777777" w:rsidR="005F43F3" w:rsidRPr="001F35D9" w:rsidRDefault="00DE52DF" w:rsidP="00871EE8">
      <w:pPr>
        <w:pStyle w:val="ListParagraph"/>
        <w:keepNext/>
        <w:numPr>
          <w:ilvl w:val="0"/>
          <w:numId w:val="5"/>
        </w:numPr>
        <w:spacing w:before="120" w:line="240" w:lineRule="auto"/>
        <w:ind w:left="284" w:hanging="284"/>
        <w:contextualSpacing w:val="0"/>
        <w:rPr>
          <w:rFonts w:ascii="Century Gothic" w:hAnsi="Century Gothic"/>
        </w:rPr>
      </w:pPr>
      <w:r w:rsidRPr="001F35D9">
        <w:rPr>
          <w:rFonts w:ascii="Century Gothic" w:hAnsi="Century Gothic"/>
        </w:rPr>
        <w:t>The current Act Section 15(2) also states “A licensee may not charge a customer any other tariff and make use of provisions in agreements other than that determined or approved by the National Energy Regulator (NERSA) as part of its licensing conditions”.</w:t>
      </w:r>
      <w:r w:rsidRPr="00DE52DF">
        <w:rPr>
          <w:rFonts w:ascii="Century Gothic" w:hAnsi="Century Gothic"/>
        </w:rPr>
        <w:t xml:space="preserve"> </w:t>
      </w:r>
    </w:p>
    <w:p w14:paraId="5C028861" w14:textId="5B40818E" w:rsidR="00167EF5" w:rsidRPr="00E55368" w:rsidRDefault="00167EF5" w:rsidP="00871EE8">
      <w:pPr>
        <w:pStyle w:val="ListParagraph"/>
        <w:keepNext/>
        <w:numPr>
          <w:ilvl w:val="0"/>
          <w:numId w:val="5"/>
        </w:numPr>
        <w:spacing w:before="120" w:line="240" w:lineRule="auto"/>
        <w:ind w:left="284" w:hanging="284"/>
        <w:contextualSpacing w:val="0"/>
        <w:rPr>
          <w:rFonts w:ascii="Century Gothic" w:hAnsi="Century Gothic"/>
        </w:rPr>
      </w:pPr>
      <w:r w:rsidRPr="00E55368">
        <w:rPr>
          <w:rFonts w:ascii="Century Gothic" w:hAnsi="Century Gothic"/>
        </w:rPr>
        <w:t xml:space="preserve">The </w:t>
      </w:r>
      <w:r w:rsidR="00B655BD" w:rsidRPr="00E55368">
        <w:rPr>
          <w:rFonts w:ascii="Century Gothic" w:hAnsi="Century Gothic"/>
        </w:rPr>
        <w:t>Electricity R</w:t>
      </w:r>
      <w:r w:rsidRPr="00E55368">
        <w:rPr>
          <w:rFonts w:ascii="Century Gothic" w:hAnsi="Century Gothic"/>
        </w:rPr>
        <w:t xml:space="preserve">egulation </w:t>
      </w:r>
      <w:r w:rsidR="00B655BD" w:rsidRPr="00E55368">
        <w:rPr>
          <w:rFonts w:ascii="Century Gothic" w:hAnsi="Century Gothic"/>
        </w:rPr>
        <w:t>A</w:t>
      </w:r>
      <w:r w:rsidRPr="00E55368">
        <w:rPr>
          <w:rFonts w:ascii="Century Gothic" w:hAnsi="Century Gothic"/>
        </w:rPr>
        <w:t>ct (ERA)</w:t>
      </w:r>
      <w:r w:rsidR="00F05094" w:rsidRPr="00E55368">
        <w:rPr>
          <w:rFonts w:ascii="Century Gothic" w:hAnsi="Century Gothic"/>
        </w:rPr>
        <w:t xml:space="preserve"> </w:t>
      </w:r>
      <w:r w:rsidRPr="00E55368">
        <w:rPr>
          <w:rFonts w:ascii="Century Gothic" w:hAnsi="Century Gothic"/>
        </w:rPr>
        <w:t xml:space="preserve">states that “A transmission or distribution licensee must, to the extent provided for in the licence, provide non-discriminatory access to the transmission and distribution power systems to third parties” </w:t>
      </w:r>
      <w:r w:rsidR="00B46A52" w:rsidRPr="00E55368">
        <w:rPr>
          <w:rFonts w:ascii="Century Gothic" w:hAnsi="Century Gothic"/>
        </w:rPr>
        <w:t>S22(3</w:t>
      </w:r>
      <w:r w:rsidR="004E4E6A" w:rsidRPr="00E55368">
        <w:rPr>
          <w:rFonts w:ascii="Century Gothic" w:hAnsi="Century Gothic"/>
        </w:rPr>
        <w:t>). Furthermore</w:t>
      </w:r>
      <w:r w:rsidRPr="00E55368">
        <w:rPr>
          <w:rFonts w:ascii="Century Gothic" w:hAnsi="Century Gothic"/>
        </w:rPr>
        <w:t xml:space="preserve">, in </w:t>
      </w:r>
      <w:r w:rsidR="00411A3E" w:rsidRPr="00E55368">
        <w:rPr>
          <w:rFonts w:ascii="Century Gothic" w:hAnsi="Century Gothic"/>
        </w:rPr>
        <w:t>S22</w:t>
      </w:r>
      <w:r w:rsidRPr="00E55368">
        <w:rPr>
          <w:rFonts w:ascii="Century Gothic" w:hAnsi="Century Gothic"/>
        </w:rPr>
        <w:t xml:space="preserve">(4) the </w:t>
      </w:r>
      <w:r w:rsidR="00FE3960">
        <w:rPr>
          <w:rFonts w:ascii="Century Gothic" w:hAnsi="Century Gothic"/>
        </w:rPr>
        <w:t>A</w:t>
      </w:r>
      <w:r w:rsidRPr="00E55368">
        <w:rPr>
          <w:rFonts w:ascii="Century Gothic" w:hAnsi="Century Gothic"/>
        </w:rPr>
        <w:t>ct states that access must be provided on the conditions set out in the licence of the distributor as it relates to, but is not limited to the following:</w:t>
      </w:r>
    </w:p>
    <w:p w14:paraId="6836CFB9" w14:textId="77777777" w:rsidR="00167EF5" w:rsidRPr="00E55368" w:rsidRDefault="00167EF5" w:rsidP="00871EE8">
      <w:pPr>
        <w:pStyle w:val="ListParagraph"/>
        <w:numPr>
          <w:ilvl w:val="1"/>
          <w:numId w:val="22"/>
        </w:numPr>
        <w:spacing w:before="120" w:line="240" w:lineRule="auto"/>
        <w:contextualSpacing w:val="0"/>
        <w:rPr>
          <w:rFonts w:ascii="Century Gothic" w:hAnsi="Century Gothic"/>
        </w:rPr>
      </w:pPr>
      <w:r w:rsidRPr="00E55368">
        <w:rPr>
          <w:rFonts w:ascii="Century Gothic" w:hAnsi="Century Gothic"/>
        </w:rPr>
        <w:t>Access being allowed or refused.</w:t>
      </w:r>
    </w:p>
    <w:p w14:paraId="19CBC7EC" w14:textId="77777777" w:rsidR="00B53991" w:rsidRPr="00E55368" w:rsidRDefault="00167EF5" w:rsidP="00871EE8">
      <w:pPr>
        <w:pStyle w:val="ListParagraph"/>
        <w:numPr>
          <w:ilvl w:val="1"/>
          <w:numId w:val="22"/>
        </w:numPr>
        <w:spacing w:before="120" w:line="240" w:lineRule="auto"/>
        <w:contextualSpacing w:val="0"/>
        <w:rPr>
          <w:rFonts w:ascii="Century Gothic" w:hAnsi="Century Gothic"/>
        </w:rPr>
      </w:pPr>
      <w:r w:rsidRPr="00E55368">
        <w:rPr>
          <w:rFonts w:ascii="Century Gothic" w:hAnsi="Century Gothic"/>
        </w:rPr>
        <w:t>Compliance with any rule, code or practice made by the regulator.</w:t>
      </w:r>
    </w:p>
    <w:p w14:paraId="39C168CC" w14:textId="77777777" w:rsidR="005F43F3" w:rsidRDefault="00167EF5" w:rsidP="005F43F3">
      <w:pPr>
        <w:spacing w:before="120" w:line="240" w:lineRule="auto"/>
        <w:rPr>
          <w:rFonts w:ascii="Century Gothic" w:hAnsi="Century Gothic"/>
        </w:rPr>
      </w:pPr>
      <w:r w:rsidRPr="00E55368">
        <w:rPr>
          <w:rFonts w:ascii="Century Gothic" w:hAnsi="Century Gothic"/>
        </w:rPr>
        <w:t>The licence conditions consist of financial, legal, and technical conditions. There are various technical conditions mentioned in the licence but the one specifically applicable to wheeling is NRS 048 (quality of supply).</w:t>
      </w:r>
      <w:r w:rsidR="00DE52DF">
        <w:rPr>
          <w:rFonts w:ascii="Century Gothic" w:hAnsi="Century Gothic"/>
        </w:rPr>
        <w:t xml:space="preserve"> </w:t>
      </w:r>
      <w:r w:rsidR="005F43F3" w:rsidRPr="00A865C8">
        <w:rPr>
          <w:rFonts w:ascii="Century Gothic" w:hAnsi="Century Gothic"/>
        </w:rPr>
        <w:t>The Municipality is thus obligated to allow</w:t>
      </w:r>
      <w:r w:rsidRPr="00E55368">
        <w:rPr>
          <w:rFonts w:ascii="Century Gothic" w:hAnsi="Century Gothic"/>
        </w:rPr>
        <w:t xml:space="preserve"> </w:t>
      </w:r>
      <w:r w:rsidR="00B53991" w:rsidRPr="00E55368">
        <w:rPr>
          <w:rFonts w:ascii="Century Gothic" w:hAnsi="Century Gothic"/>
        </w:rPr>
        <w:t>third part</w:t>
      </w:r>
      <w:r w:rsidR="00D8352A" w:rsidRPr="00E55368">
        <w:rPr>
          <w:rFonts w:ascii="Century Gothic" w:hAnsi="Century Gothic"/>
        </w:rPr>
        <w:t>y</w:t>
      </w:r>
      <w:r w:rsidR="00B53991" w:rsidRPr="00E55368">
        <w:rPr>
          <w:rFonts w:ascii="Century Gothic" w:hAnsi="Century Gothic"/>
        </w:rPr>
        <w:t xml:space="preserve"> </w:t>
      </w:r>
      <w:r w:rsidRPr="00E55368">
        <w:rPr>
          <w:rFonts w:ascii="Century Gothic" w:hAnsi="Century Gothic"/>
        </w:rPr>
        <w:t xml:space="preserve">access to the </w:t>
      </w:r>
      <w:r w:rsidR="00630546" w:rsidRPr="00E55368">
        <w:rPr>
          <w:rFonts w:ascii="Century Gothic" w:hAnsi="Century Gothic"/>
        </w:rPr>
        <w:t>grid</w:t>
      </w:r>
      <w:r w:rsidRPr="00E55368">
        <w:rPr>
          <w:rFonts w:ascii="Century Gothic" w:hAnsi="Century Gothic"/>
        </w:rPr>
        <w:t xml:space="preserve"> but must still adhere to its licence conditions. </w:t>
      </w:r>
    </w:p>
    <w:p w14:paraId="4BDE3F90" w14:textId="54B71B45" w:rsidR="00CB17A7" w:rsidRPr="00E55368" w:rsidRDefault="00167EF5" w:rsidP="005F43F3">
      <w:pPr>
        <w:spacing w:before="120" w:line="240" w:lineRule="auto"/>
        <w:rPr>
          <w:rFonts w:ascii="Century Gothic" w:hAnsi="Century Gothic"/>
        </w:rPr>
      </w:pPr>
      <w:r w:rsidRPr="00E55368">
        <w:rPr>
          <w:rFonts w:ascii="Century Gothic" w:hAnsi="Century Gothic"/>
        </w:rPr>
        <w:t xml:space="preserve">According to the ERA, </w:t>
      </w:r>
      <w:r w:rsidR="00630546" w:rsidRPr="00E55368">
        <w:rPr>
          <w:rFonts w:ascii="Century Gothic" w:hAnsi="Century Gothic"/>
        </w:rPr>
        <w:t>the Municipality</w:t>
      </w:r>
      <w:r w:rsidRPr="00E55368">
        <w:rPr>
          <w:rFonts w:ascii="Century Gothic" w:hAnsi="Century Gothic"/>
        </w:rPr>
        <w:t xml:space="preserve"> may grant or refuse access</w:t>
      </w:r>
      <w:r w:rsidR="00896088" w:rsidRPr="00E55368">
        <w:rPr>
          <w:rFonts w:ascii="Century Gothic" w:hAnsi="Century Gothic"/>
        </w:rPr>
        <w:t xml:space="preserve"> </w:t>
      </w:r>
      <w:r w:rsidR="000F0B65">
        <w:rPr>
          <w:rFonts w:ascii="Century Gothic" w:hAnsi="Century Gothic"/>
        </w:rPr>
        <w:t>(</w:t>
      </w:r>
      <w:r w:rsidR="000F0B65" w:rsidRPr="00FE1CC5">
        <w:rPr>
          <w:rFonts w:ascii="Century Gothic" w:hAnsi="Century Gothic"/>
          <w:i/>
          <w:iCs/>
        </w:rPr>
        <w:t xml:space="preserve">may be subject to change </w:t>
      </w:r>
      <w:r w:rsidR="00FE1CC5" w:rsidRPr="00FE1CC5">
        <w:rPr>
          <w:rFonts w:ascii="Century Gothic" w:hAnsi="Century Gothic"/>
          <w:i/>
          <w:iCs/>
        </w:rPr>
        <w:t>if and when</w:t>
      </w:r>
      <w:r w:rsidR="000F0B65" w:rsidRPr="00FE1CC5">
        <w:rPr>
          <w:rFonts w:ascii="Century Gothic" w:hAnsi="Century Gothic"/>
          <w:i/>
          <w:iCs/>
        </w:rPr>
        <w:t xml:space="preserve"> national third</w:t>
      </w:r>
      <w:r w:rsidR="003F01F0">
        <w:rPr>
          <w:rFonts w:ascii="Century Gothic" w:hAnsi="Century Gothic"/>
          <w:i/>
          <w:iCs/>
        </w:rPr>
        <w:t>-</w:t>
      </w:r>
      <w:r w:rsidR="000F0B65" w:rsidRPr="00FE1CC5">
        <w:rPr>
          <w:rFonts w:ascii="Century Gothic" w:hAnsi="Century Gothic"/>
          <w:i/>
          <w:iCs/>
        </w:rPr>
        <w:t xml:space="preserve">party </w:t>
      </w:r>
      <w:r w:rsidR="00FE1CC5" w:rsidRPr="00FE1CC5">
        <w:rPr>
          <w:rFonts w:ascii="Century Gothic" w:hAnsi="Century Gothic"/>
          <w:i/>
          <w:iCs/>
        </w:rPr>
        <w:t>rules are implemented)</w:t>
      </w:r>
      <w:r w:rsidR="00FE1CC5">
        <w:rPr>
          <w:rFonts w:ascii="Century Gothic" w:hAnsi="Century Gothic"/>
        </w:rPr>
        <w:t xml:space="preserve"> </w:t>
      </w:r>
      <w:r w:rsidR="00896088" w:rsidRPr="00E55368">
        <w:rPr>
          <w:rFonts w:ascii="Century Gothic" w:hAnsi="Century Gothic"/>
          <w:color w:val="000000"/>
        </w:rPr>
        <w:t xml:space="preserve">only where it lacks the necessary capacity, with written </w:t>
      </w:r>
      <w:r w:rsidR="009C23C0">
        <w:rPr>
          <w:rFonts w:ascii="Century Gothic" w:hAnsi="Century Gothic"/>
          <w:color w:val="000000"/>
        </w:rPr>
        <w:t xml:space="preserve">valid </w:t>
      </w:r>
      <w:r w:rsidR="00896088" w:rsidRPr="00E55368">
        <w:rPr>
          <w:rFonts w:ascii="Century Gothic" w:hAnsi="Century Gothic"/>
          <w:color w:val="000000"/>
        </w:rPr>
        <w:t xml:space="preserve">reasons given for such refusal, and that any party requesting </w:t>
      </w:r>
      <w:r w:rsidR="00896088" w:rsidRPr="00E55368">
        <w:rPr>
          <w:rFonts w:ascii="Century Gothic" w:hAnsi="Century Gothic"/>
          <w:color w:val="000000"/>
        </w:rPr>
        <w:lastRenderedPageBreak/>
        <w:t xml:space="preserve">information on network capacity and measures that would be necessary to reinforce the network may be charged a reasonable fee reflecting the cost of providing such information. </w:t>
      </w:r>
      <w:r w:rsidRPr="00E55368">
        <w:rPr>
          <w:rFonts w:ascii="Century Gothic" w:hAnsi="Century Gothic"/>
        </w:rPr>
        <w:t xml:space="preserve">It is therefore the stated intention of </w:t>
      </w:r>
      <w:r w:rsidR="00CB17A7" w:rsidRPr="00E55368">
        <w:rPr>
          <w:rFonts w:ascii="Century Gothic" w:hAnsi="Century Gothic"/>
        </w:rPr>
        <w:t>the Municipality</w:t>
      </w:r>
      <w:r w:rsidRPr="00E55368">
        <w:rPr>
          <w:rFonts w:ascii="Century Gothic" w:hAnsi="Century Gothic"/>
        </w:rPr>
        <w:t xml:space="preserve"> to impose additional conditions on wheeling entities only insofar as it will ensure the quality of supply to its consumer base.</w:t>
      </w:r>
    </w:p>
    <w:p w14:paraId="28394EE8" w14:textId="3C24C214" w:rsidR="00B21D71" w:rsidRDefault="00167EF5" w:rsidP="005F43F3">
      <w:pPr>
        <w:spacing w:before="120" w:line="240" w:lineRule="auto"/>
        <w:rPr>
          <w:rFonts w:ascii="Century Gothic" w:hAnsi="Century Gothic"/>
        </w:rPr>
      </w:pPr>
      <w:r w:rsidRPr="00E55368">
        <w:rPr>
          <w:rFonts w:ascii="Century Gothic" w:hAnsi="Century Gothic"/>
        </w:rPr>
        <w:t xml:space="preserve">The additional requirements will be mostly technical in nature. </w:t>
      </w:r>
      <w:r w:rsidR="00B21D71" w:rsidRPr="00E55368">
        <w:rPr>
          <w:rFonts w:ascii="Century Gothic" w:hAnsi="Century Gothic"/>
        </w:rPr>
        <w:t>The Municipality</w:t>
      </w:r>
      <w:r w:rsidRPr="00E55368">
        <w:rPr>
          <w:rFonts w:ascii="Century Gothic" w:hAnsi="Century Gothic"/>
        </w:rPr>
        <w:t xml:space="preserve"> aims to develop the technical capacity with pilot projects and foresees the</w:t>
      </w:r>
      <w:r w:rsidR="00B21D71" w:rsidRPr="00E55368">
        <w:rPr>
          <w:rFonts w:ascii="Century Gothic" w:hAnsi="Century Gothic"/>
        </w:rPr>
        <w:t>se</w:t>
      </w:r>
      <w:r w:rsidRPr="00E55368">
        <w:rPr>
          <w:rFonts w:ascii="Century Gothic" w:hAnsi="Century Gothic"/>
        </w:rPr>
        <w:t xml:space="preserve"> requirements being amended regularly. The municipality does not want to take unnecessary technical risks by enabling wheeling. The project will rely on standards already developed for embedded generators. This will ensure minimal technical risk for </w:t>
      </w:r>
      <w:r w:rsidR="00B21D71" w:rsidRPr="00E55368">
        <w:rPr>
          <w:rFonts w:ascii="Century Gothic" w:hAnsi="Century Gothic"/>
        </w:rPr>
        <w:t>the Municipality</w:t>
      </w:r>
      <w:r w:rsidRPr="00E55368">
        <w:rPr>
          <w:rFonts w:ascii="Century Gothic" w:hAnsi="Century Gothic"/>
        </w:rPr>
        <w:t xml:space="preserve"> and compliance with all relevant technical standards.</w:t>
      </w:r>
    </w:p>
    <w:p w14:paraId="3994DAB8" w14:textId="496A8994" w:rsidR="00A947B1" w:rsidRPr="00A865C8" w:rsidRDefault="005F43F3" w:rsidP="005F43F3">
      <w:pPr>
        <w:spacing w:before="120" w:line="240" w:lineRule="auto"/>
        <w:rPr>
          <w:rFonts w:ascii="Century Gothic" w:hAnsi="Century Gothic"/>
        </w:rPr>
      </w:pPr>
      <w:r w:rsidRPr="00A865C8">
        <w:rPr>
          <w:rFonts w:ascii="Century Gothic" w:hAnsi="Century Gothic"/>
        </w:rPr>
        <w:t xml:space="preserve">The </w:t>
      </w:r>
      <w:r>
        <w:rPr>
          <w:rFonts w:ascii="Century Gothic" w:hAnsi="Century Gothic"/>
        </w:rPr>
        <w:t>ERA</w:t>
      </w:r>
      <w:r w:rsidR="00A947B1" w:rsidRPr="00A865C8">
        <w:rPr>
          <w:rFonts w:ascii="Century Gothic" w:hAnsi="Century Gothic"/>
        </w:rPr>
        <w:t xml:space="preserve"> and NERSA's Transmission Grid Code and Distribution Network Code mandate non-discriminatory access to the grid for all customers, including transmission and distribution connected generators and loads, for energy delivery or export. However, third-party wheeling of energy is currently subject to the buyer being connected on a medium-voltage (MV) or higher-voltage network and being on a time-of-use (TOU) tariff. The customer whose account(s) the energy will be wheeled to must sign an amendment</w:t>
      </w:r>
      <w:r w:rsidR="001E3438">
        <w:rPr>
          <w:rFonts w:ascii="Century Gothic" w:hAnsi="Century Gothic"/>
        </w:rPr>
        <w:t>/addendum</w:t>
      </w:r>
      <w:r w:rsidR="00A947B1" w:rsidRPr="00A865C8">
        <w:rPr>
          <w:rFonts w:ascii="Century Gothic" w:hAnsi="Century Gothic"/>
        </w:rPr>
        <w:t xml:space="preserve"> agreement to their Electricity Supply Agreement</w:t>
      </w:r>
      <w:r w:rsidR="00F475B3">
        <w:rPr>
          <w:rFonts w:ascii="Century Gothic" w:hAnsi="Century Gothic"/>
        </w:rPr>
        <w:t xml:space="preserve"> (ESA)</w:t>
      </w:r>
      <w:r w:rsidR="00A947B1" w:rsidRPr="00A865C8">
        <w:rPr>
          <w:rFonts w:ascii="Century Gothic" w:hAnsi="Century Gothic"/>
        </w:rPr>
        <w:t>, and the generator must nominate the buyer(s) of the wheeled electricity in the Connection and Use-of-System Agreement</w:t>
      </w:r>
      <w:r w:rsidR="00855492">
        <w:rPr>
          <w:rFonts w:ascii="Century Gothic" w:hAnsi="Century Gothic"/>
        </w:rPr>
        <w:t xml:space="preserve"> (</w:t>
      </w:r>
      <w:proofErr w:type="spellStart"/>
      <w:r w:rsidR="00855492">
        <w:rPr>
          <w:rFonts w:ascii="Century Gothic" w:hAnsi="Century Gothic"/>
        </w:rPr>
        <w:t>UoSA</w:t>
      </w:r>
      <w:proofErr w:type="spellEnd"/>
      <w:r w:rsidR="00855492">
        <w:rPr>
          <w:rFonts w:ascii="Century Gothic" w:hAnsi="Century Gothic"/>
        </w:rPr>
        <w:t>)</w:t>
      </w:r>
      <w:r w:rsidR="00A947B1" w:rsidRPr="00A865C8">
        <w:rPr>
          <w:rFonts w:ascii="Century Gothic" w:hAnsi="Century Gothic"/>
        </w:rPr>
        <w:t>. If one of the parties buying the energy is located within a municipal network, the municipality would be the party to sign the amendment</w:t>
      </w:r>
      <w:r w:rsidR="00982870">
        <w:rPr>
          <w:rFonts w:ascii="Century Gothic" w:hAnsi="Century Gothic"/>
        </w:rPr>
        <w:t>/addendum</w:t>
      </w:r>
      <w:r w:rsidR="00A947B1" w:rsidRPr="00A865C8">
        <w:rPr>
          <w:rFonts w:ascii="Century Gothic" w:hAnsi="Century Gothic"/>
        </w:rPr>
        <w:t xml:space="preserve"> agreement with Eskom.</w:t>
      </w:r>
    </w:p>
    <w:p w14:paraId="1E97A6C7" w14:textId="77777777" w:rsidR="00A947B1" w:rsidRPr="00A865C8" w:rsidRDefault="00A947B1" w:rsidP="005F43F3">
      <w:pPr>
        <w:spacing w:before="120" w:line="240" w:lineRule="auto"/>
        <w:rPr>
          <w:rFonts w:ascii="Century Gothic" w:hAnsi="Century Gothic"/>
        </w:rPr>
      </w:pPr>
      <w:r w:rsidRPr="00A865C8">
        <w:rPr>
          <w:rFonts w:ascii="Century Gothic" w:hAnsi="Century Gothic"/>
        </w:rPr>
        <w:t>In addition to these requirements, there are several other requirements that need to be fulfilled for generators to be able to wheel electricity:</w:t>
      </w:r>
    </w:p>
    <w:p w14:paraId="3AE5E348" w14:textId="77777777" w:rsidR="00A947B1" w:rsidRPr="00A865C8" w:rsidRDefault="00A947B1" w:rsidP="00871EE8">
      <w:pPr>
        <w:pStyle w:val="ListParagraph"/>
        <w:keepNext/>
        <w:numPr>
          <w:ilvl w:val="0"/>
          <w:numId w:val="5"/>
        </w:numPr>
        <w:spacing w:before="120" w:line="240" w:lineRule="auto"/>
        <w:ind w:left="284" w:hanging="284"/>
        <w:contextualSpacing w:val="0"/>
        <w:rPr>
          <w:rFonts w:ascii="Century Gothic" w:hAnsi="Century Gothic"/>
        </w:rPr>
      </w:pPr>
      <w:r w:rsidRPr="00A865C8">
        <w:rPr>
          <w:rFonts w:ascii="Century Gothic" w:hAnsi="Century Gothic"/>
        </w:rPr>
        <w:t>All generators, whether private or public, must be licensed or registered to generate and supply the network with electricity. To ensure accelerated access to the open grid, the government has raised the threshold for private self- or distributed-generation power plants from 1MW to 100MW to only now having to be registered with NERSA, that is, not requiring a license.</w:t>
      </w:r>
    </w:p>
    <w:p w14:paraId="204D0378" w14:textId="77777777" w:rsidR="005F43F3" w:rsidRPr="00A865C8" w:rsidRDefault="005F43F3" w:rsidP="00871EE8">
      <w:pPr>
        <w:pStyle w:val="ListParagraph"/>
        <w:keepNext/>
        <w:numPr>
          <w:ilvl w:val="0"/>
          <w:numId w:val="5"/>
        </w:numPr>
        <w:spacing w:before="120" w:line="240" w:lineRule="auto"/>
        <w:ind w:left="284" w:hanging="284"/>
        <w:contextualSpacing w:val="0"/>
        <w:rPr>
          <w:rFonts w:ascii="Century Gothic" w:hAnsi="Century Gothic"/>
        </w:rPr>
      </w:pPr>
      <w:r w:rsidRPr="00A865C8">
        <w:rPr>
          <w:rFonts w:ascii="Century Gothic" w:hAnsi="Century Gothic"/>
        </w:rPr>
        <w:t>The generator must apply to Eskom</w:t>
      </w:r>
      <w:r>
        <w:rPr>
          <w:rFonts w:ascii="Century Gothic" w:hAnsi="Century Gothic"/>
        </w:rPr>
        <w:t xml:space="preserve"> or the Municipality (if within the Municipality grid)</w:t>
      </w:r>
      <w:r w:rsidRPr="00A865C8">
        <w:rPr>
          <w:rFonts w:ascii="Century Gothic" w:hAnsi="Century Gothic"/>
        </w:rPr>
        <w:t xml:space="preserve"> for grid connection and pay </w:t>
      </w:r>
      <w:r>
        <w:rPr>
          <w:rFonts w:ascii="Century Gothic" w:hAnsi="Century Gothic"/>
        </w:rPr>
        <w:t>relevant determined charges.</w:t>
      </w:r>
    </w:p>
    <w:p w14:paraId="458AE2EB" w14:textId="6A28CAED" w:rsidR="00A947B1" w:rsidRPr="00A865C8" w:rsidRDefault="00A947B1" w:rsidP="00871EE8">
      <w:pPr>
        <w:pStyle w:val="ListParagraph"/>
        <w:keepNext/>
        <w:numPr>
          <w:ilvl w:val="0"/>
          <w:numId w:val="5"/>
        </w:numPr>
        <w:spacing w:before="120" w:line="240" w:lineRule="auto"/>
        <w:ind w:left="284" w:hanging="284"/>
        <w:contextualSpacing w:val="0"/>
        <w:rPr>
          <w:rFonts w:ascii="Century Gothic" w:hAnsi="Century Gothic"/>
        </w:rPr>
      </w:pPr>
      <w:r w:rsidRPr="00A865C8">
        <w:rPr>
          <w:rFonts w:ascii="Century Gothic" w:hAnsi="Century Gothic"/>
        </w:rPr>
        <w:t>The customer whose account(s) the energy will be wheeled to must sign an amendment</w:t>
      </w:r>
      <w:r w:rsidR="00982870">
        <w:rPr>
          <w:rFonts w:ascii="Century Gothic" w:hAnsi="Century Gothic"/>
        </w:rPr>
        <w:t>/</w:t>
      </w:r>
      <w:r w:rsidR="00982870" w:rsidRPr="00982870">
        <w:rPr>
          <w:rFonts w:ascii="Century Gothic" w:hAnsi="Century Gothic"/>
        </w:rPr>
        <w:t xml:space="preserve"> </w:t>
      </w:r>
      <w:r w:rsidR="00982870">
        <w:rPr>
          <w:rFonts w:ascii="Century Gothic" w:hAnsi="Century Gothic"/>
        </w:rPr>
        <w:t>addendum</w:t>
      </w:r>
      <w:r w:rsidRPr="00A865C8">
        <w:rPr>
          <w:rFonts w:ascii="Century Gothic" w:hAnsi="Century Gothic"/>
        </w:rPr>
        <w:t xml:space="preserve"> agreement to their Electricity Supply Agreement to have the account adjusted for the wheeled energy based on the Gen-wheeling tariffs. If the Electricity Supply Agreement is not up to date, a new agreement must be signed.</w:t>
      </w:r>
    </w:p>
    <w:p w14:paraId="7C30206B" w14:textId="1E1BC5C0" w:rsidR="00A947B1" w:rsidRPr="00A865C8" w:rsidRDefault="005F43F3" w:rsidP="00871EE8">
      <w:pPr>
        <w:pStyle w:val="ListParagraph"/>
        <w:keepNext/>
        <w:numPr>
          <w:ilvl w:val="0"/>
          <w:numId w:val="5"/>
        </w:numPr>
        <w:spacing w:before="120" w:line="240" w:lineRule="auto"/>
        <w:ind w:left="284" w:hanging="284"/>
        <w:contextualSpacing w:val="0"/>
        <w:rPr>
          <w:rFonts w:ascii="Century Gothic" w:hAnsi="Century Gothic"/>
        </w:rPr>
      </w:pPr>
      <w:r w:rsidRPr="00A865C8">
        <w:rPr>
          <w:rFonts w:ascii="Century Gothic" w:hAnsi="Century Gothic"/>
        </w:rPr>
        <w:t>The generator must</w:t>
      </w:r>
      <w:r w:rsidR="00A947B1" w:rsidRPr="00A865C8">
        <w:rPr>
          <w:rFonts w:ascii="Century Gothic" w:hAnsi="Century Gothic"/>
        </w:rPr>
        <w:t xml:space="preserve"> proceed with the connection, sign the "</w:t>
      </w:r>
      <w:r w:rsidR="00D2736E">
        <w:rPr>
          <w:rFonts w:ascii="Century Gothic" w:hAnsi="Century Gothic"/>
        </w:rPr>
        <w:t>C</w:t>
      </w:r>
      <w:r w:rsidR="00A947B1" w:rsidRPr="00A865C8">
        <w:rPr>
          <w:rFonts w:ascii="Century Gothic" w:hAnsi="Century Gothic"/>
        </w:rPr>
        <w:t xml:space="preserve">onnection and </w:t>
      </w:r>
      <w:r w:rsidR="00D2736E">
        <w:rPr>
          <w:rFonts w:ascii="Century Gothic" w:hAnsi="Century Gothic"/>
        </w:rPr>
        <w:t>U</w:t>
      </w:r>
      <w:r w:rsidR="00A947B1" w:rsidRPr="00A865C8">
        <w:rPr>
          <w:rFonts w:ascii="Century Gothic" w:hAnsi="Century Gothic"/>
        </w:rPr>
        <w:t>se-of-</w:t>
      </w:r>
      <w:r w:rsidR="00D2736E">
        <w:rPr>
          <w:rFonts w:ascii="Century Gothic" w:hAnsi="Century Gothic"/>
        </w:rPr>
        <w:t>S</w:t>
      </w:r>
      <w:r w:rsidR="00A947B1" w:rsidRPr="00A865C8">
        <w:rPr>
          <w:rFonts w:ascii="Century Gothic" w:hAnsi="Century Gothic"/>
        </w:rPr>
        <w:t xml:space="preserve">ystem </w:t>
      </w:r>
      <w:r w:rsidR="00D2736E">
        <w:rPr>
          <w:rFonts w:ascii="Century Gothic" w:hAnsi="Century Gothic"/>
        </w:rPr>
        <w:t>A</w:t>
      </w:r>
      <w:r w:rsidR="00A947B1" w:rsidRPr="00A865C8">
        <w:rPr>
          <w:rFonts w:ascii="Century Gothic" w:hAnsi="Century Gothic"/>
        </w:rPr>
        <w:t>greement," and nominate the buyer(s) of the wheeled electricity in this agreement.</w:t>
      </w:r>
    </w:p>
    <w:p w14:paraId="5D589AE9" w14:textId="5AE512DB" w:rsidR="00A947B1" w:rsidRPr="00A865C8" w:rsidRDefault="00A947B1" w:rsidP="00871EE8">
      <w:pPr>
        <w:pStyle w:val="ListParagraph"/>
        <w:keepNext/>
        <w:numPr>
          <w:ilvl w:val="0"/>
          <w:numId w:val="5"/>
        </w:numPr>
        <w:spacing w:before="120" w:line="240" w:lineRule="auto"/>
        <w:ind w:left="284" w:hanging="284"/>
        <w:contextualSpacing w:val="0"/>
        <w:rPr>
          <w:rFonts w:ascii="Century Gothic" w:hAnsi="Century Gothic"/>
        </w:rPr>
      </w:pPr>
      <w:r w:rsidRPr="00A865C8">
        <w:rPr>
          <w:rFonts w:ascii="Century Gothic" w:hAnsi="Century Gothic"/>
        </w:rPr>
        <w:t>The buyer(s) can be another Eskom customer, a municipality, or a customer within a municipal network. The buyer(s) will be required to sign an amendment</w:t>
      </w:r>
      <w:r w:rsidR="00593C9A">
        <w:rPr>
          <w:rFonts w:ascii="Century Gothic" w:hAnsi="Century Gothic"/>
        </w:rPr>
        <w:t>/</w:t>
      </w:r>
      <w:r w:rsidR="00593C9A" w:rsidRPr="00593C9A">
        <w:rPr>
          <w:rFonts w:ascii="Century Gothic" w:hAnsi="Century Gothic"/>
        </w:rPr>
        <w:t xml:space="preserve"> </w:t>
      </w:r>
      <w:r w:rsidR="00593C9A">
        <w:rPr>
          <w:rFonts w:ascii="Century Gothic" w:hAnsi="Century Gothic"/>
        </w:rPr>
        <w:t>addendum</w:t>
      </w:r>
      <w:r w:rsidRPr="00A865C8">
        <w:rPr>
          <w:rFonts w:ascii="Century Gothic" w:hAnsi="Century Gothic"/>
        </w:rPr>
        <w:t xml:space="preserve"> agreement</w:t>
      </w:r>
      <w:r w:rsidR="00094415">
        <w:rPr>
          <w:rFonts w:ascii="Century Gothic" w:hAnsi="Century Gothic"/>
        </w:rPr>
        <w:t>.</w:t>
      </w:r>
    </w:p>
    <w:p w14:paraId="2B3BC82B" w14:textId="77777777" w:rsidR="00A947B1" w:rsidRPr="00A865C8" w:rsidRDefault="00A947B1" w:rsidP="00871EE8">
      <w:pPr>
        <w:pStyle w:val="ListParagraph"/>
        <w:keepNext/>
        <w:numPr>
          <w:ilvl w:val="0"/>
          <w:numId w:val="5"/>
        </w:numPr>
        <w:spacing w:before="120" w:line="240" w:lineRule="auto"/>
        <w:ind w:left="284" w:hanging="284"/>
        <w:contextualSpacing w:val="0"/>
        <w:rPr>
          <w:rFonts w:ascii="Century Gothic" w:hAnsi="Century Gothic"/>
        </w:rPr>
      </w:pPr>
      <w:r w:rsidRPr="00A865C8">
        <w:rPr>
          <w:rFonts w:ascii="Century Gothic" w:hAnsi="Century Gothic"/>
        </w:rPr>
        <w:t>If one of the parties buying the energy is located within a municipal network, the municipality would be the party to sign the amendment agreement with Eskom (not the buyer) and must agree to allow the wheeling transaction.</w:t>
      </w:r>
    </w:p>
    <w:p w14:paraId="2F7AE633" w14:textId="2A7E2AE5" w:rsidR="00167EF5" w:rsidRPr="00E55368" w:rsidRDefault="00167EF5" w:rsidP="005F43F3">
      <w:pPr>
        <w:spacing w:before="120" w:line="240" w:lineRule="auto"/>
        <w:rPr>
          <w:rFonts w:ascii="Century Gothic" w:hAnsi="Century Gothic"/>
        </w:rPr>
      </w:pPr>
      <w:r w:rsidRPr="00E55368">
        <w:rPr>
          <w:rFonts w:ascii="Century Gothic" w:hAnsi="Century Gothic"/>
        </w:rPr>
        <w:t xml:space="preserve">In summary, </w:t>
      </w:r>
      <w:r w:rsidR="00B21D71" w:rsidRPr="00E55368">
        <w:rPr>
          <w:rFonts w:ascii="Century Gothic" w:hAnsi="Century Gothic"/>
        </w:rPr>
        <w:t>the Municipality</w:t>
      </w:r>
      <w:r w:rsidRPr="00E55368">
        <w:rPr>
          <w:rFonts w:ascii="Century Gothic" w:hAnsi="Century Gothic"/>
        </w:rPr>
        <w:t xml:space="preserve"> will allow non-discriminatory access to the municipal grid by </w:t>
      </w:r>
      <w:r w:rsidR="00B21D71" w:rsidRPr="00E55368">
        <w:rPr>
          <w:rFonts w:ascii="Century Gothic" w:hAnsi="Century Gothic"/>
        </w:rPr>
        <w:t>third</w:t>
      </w:r>
      <w:r w:rsidR="00941F17" w:rsidRPr="00E55368">
        <w:rPr>
          <w:rFonts w:ascii="Century Gothic" w:hAnsi="Century Gothic"/>
        </w:rPr>
        <w:t xml:space="preserve"> parties </w:t>
      </w:r>
      <w:r w:rsidRPr="00E55368">
        <w:rPr>
          <w:rFonts w:ascii="Century Gothic" w:hAnsi="Century Gothic"/>
        </w:rPr>
        <w:t xml:space="preserve">in full compliance with national legislation and the rules or codes published by the regulator. In addition, it will create requirements for </w:t>
      </w:r>
      <w:r w:rsidR="00DF6D75" w:rsidRPr="00E55368">
        <w:rPr>
          <w:rFonts w:ascii="Century Gothic" w:hAnsi="Century Gothic"/>
        </w:rPr>
        <w:t>third</w:t>
      </w:r>
      <w:r w:rsidR="005E3ACB">
        <w:rPr>
          <w:rFonts w:ascii="Century Gothic" w:hAnsi="Century Gothic"/>
        </w:rPr>
        <w:t>-</w:t>
      </w:r>
      <w:r w:rsidR="00DF6D75" w:rsidRPr="00E55368">
        <w:rPr>
          <w:rFonts w:ascii="Century Gothic" w:hAnsi="Century Gothic"/>
        </w:rPr>
        <w:t>party energy providers</w:t>
      </w:r>
      <w:r w:rsidRPr="00E55368">
        <w:rPr>
          <w:rFonts w:ascii="Century Gothic" w:hAnsi="Century Gothic"/>
        </w:rPr>
        <w:t xml:space="preserve"> to ensure the municipal compliance to its licence conditions.</w:t>
      </w:r>
    </w:p>
    <w:p w14:paraId="52ABCFAA" w14:textId="3565FC2C" w:rsidR="00B81CDF" w:rsidRPr="001158CB" w:rsidRDefault="00B81CDF" w:rsidP="00B81CDF">
      <w:pPr>
        <w:pStyle w:val="Heading1"/>
      </w:pPr>
      <w:bookmarkStart w:id="15" w:name="_Toc134598045"/>
      <w:bookmarkStart w:id="16" w:name="_Toc145484193"/>
      <w:r w:rsidRPr="001158CB">
        <w:t>Roles and Responsibilities of Stakeholders</w:t>
      </w:r>
      <w:bookmarkEnd w:id="16"/>
    </w:p>
    <w:p w14:paraId="5572B1EA" w14:textId="77777777" w:rsidR="005F34E8" w:rsidRDefault="005F34E8" w:rsidP="005F34E8">
      <w:pPr>
        <w:shd w:val="clear" w:color="auto" w:fill="F2F2F2" w:themeFill="background1" w:themeFillShade="F2"/>
        <w:rPr>
          <w:rFonts w:ascii="Century Gothic" w:hAnsi="Century Gothic"/>
          <w:b/>
          <w:bCs/>
          <w:i/>
          <w:iCs/>
          <w:u w:val="single"/>
        </w:rPr>
      </w:pPr>
      <w:r w:rsidRPr="00982985">
        <w:rPr>
          <w:rFonts w:ascii="Segoe UI Emoji" w:hAnsi="Segoe UI Emoji" w:cs="Segoe UI Emoji"/>
        </w:rPr>
        <w:t>🔍</w:t>
      </w:r>
      <w:r w:rsidRPr="00982985">
        <w:rPr>
          <w:rFonts w:ascii="Century Gothic" w:hAnsi="Century Gothic"/>
          <w:b/>
          <w:bCs/>
          <w:i/>
          <w:iCs/>
          <w:u w:val="single"/>
        </w:rPr>
        <w:t xml:space="preserve"> Explanatory notes: </w:t>
      </w:r>
    </w:p>
    <w:p w14:paraId="3CD765DA" w14:textId="7B0F8D33" w:rsidR="005B0CA7" w:rsidRPr="00D728F3" w:rsidRDefault="00D728F3" w:rsidP="005F34E8">
      <w:pPr>
        <w:shd w:val="clear" w:color="auto" w:fill="F2F2F2" w:themeFill="background1" w:themeFillShade="F2"/>
        <w:rPr>
          <w:rFonts w:ascii="Century Gothic" w:hAnsi="Century Gothic"/>
          <w:i/>
          <w:iCs/>
        </w:rPr>
      </w:pPr>
      <w:r w:rsidRPr="00D728F3">
        <w:rPr>
          <w:rFonts w:ascii="Century Gothic" w:hAnsi="Century Gothic"/>
          <w:i/>
          <w:iCs/>
        </w:rPr>
        <w:t>The section on the roles and responsibilities of stakeholders provides a comprehensive overview of the duties and obligations of key participants in the electricity wheeling process.</w:t>
      </w:r>
      <w:r w:rsidR="002629AF" w:rsidRPr="002629AF">
        <w:rPr>
          <w:rFonts w:ascii="Century Gothic" w:hAnsi="Century Gothic"/>
          <w:i/>
          <w:iCs/>
        </w:rPr>
        <w:t xml:space="preserve"> </w:t>
      </w:r>
      <w:r w:rsidR="002629AF" w:rsidRPr="002629AF">
        <w:rPr>
          <w:rFonts w:ascii="Century Gothic" w:hAnsi="Century Gothic"/>
          <w:i/>
          <w:iCs/>
        </w:rPr>
        <w:lastRenderedPageBreak/>
        <w:t>Understanding the roles and responsibilities of each party is crucial for maintaining a reliable and secure grid, adhering to regulatory requirements, and fostering a transparent and fair environment. This section helps stakeholders comprehend their individual responsibilities, establishes accountability, and facilitates effective communication and cooperation throughout the electricity wheeling process.</w:t>
      </w:r>
      <w:r w:rsidRPr="00D728F3">
        <w:rPr>
          <w:rFonts w:ascii="Century Gothic" w:hAnsi="Century Gothic"/>
          <w:i/>
          <w:iCs/>
        </w:rPr>
        <w:t xml:space="preserve"> </w:t>
      </w:r>
      <w:r w:rsidR="00A56758">
        <w:rPr>
          <w:rFonts w:ascii="Century Gothic" w:hAnsi="Century Gothic"/>
          <w:i/>
          <w:iCs/>
        </w:rPr>
        <w:t xml:space="preserve">The Municipality </w:t>
      </w:r>
      <w:r w:rsidRPr="00D728F3">
        <w:rPr>
          <w:rFonts w:ascii="Century Gothic" w:hAnsi="Century Gothic"/>
          <w:i/>
          <w:iCs/>
        </w:rPr>
        <w:t xml:space="preserve">play a vital role in this process by identifying stakeholders, engaging with them through regular communication and consultations, facilitating licensing and approval, establishing fair tariff structures, monitoring compliance, and collaborating with regulatory bodies. By effectively fulfilling these responsibilities, </w:t>
      </w:r>
      <w:r w:rsidR="00A56758">
        <w:rPr>
          <w:rFonts w:ascii="Century Gothic" w:hAnsi="Century Gothic"/>
          <w:i/>
          <w:iCs/>
        </w:rPr>
        <w:t xml:space="preserve">The Municipality </w:t>
      </w:r>
      <w:r w:rsidRPr="00D728F3">
        <w:rPr>
          <w:rFonts w:ascii="Century Gothic" w:hAnsi="Century Gothic"/>
          <w:i/>
          <w:iCs/>
        </w:rPr>
        <w:t>ensure the successful implementation of the wheeling framework, promote customer choice, support private generation capacity, and maintain a reliable electricity supply within their jurisdiction.</w:t>
      </w:r>
    </w:p>
    <w:p w14:paraId="2C2048EF" w14:textId="77777777" w:rsidR="005F34E8" w:rsidRPr="00AF79B1" w:rsidRDefault="005F34E8" w:rsidP="005F34E8">
      <w:pPr>
        <w:rPr>
          <w:rFonts w:ascii="Century Gothic" w:hAnsi="Century Gothic"/>
          <w:b/>
          <w:bCs/>
          <w:u w:val="single"/>
        </w:rPr>
      </w:pPr>
      <w:r w:rsidRPr="00FE49F7">
        <w:rPr>
          <w:rFonts w:ascii="Segoe UI Emoji" w:hAnsi="Segoe UI Emoji" w:cs="Segoe UI Emoji"/>
          <w:b/>
          <w:bCs/>
          <w:u w:val="single"/>
        </w:rPr>
        <w:t>💡</w:t>
      </w:r>
      <w:r w:rsidRPr="00FE49F7">
        <w:rPr>
          <w:rFonts w:ascii="Century Gothic" w:hAnsi="Century Gothic"/>
          <w:b/>
          <w:bCs/>
          <w:u w:val="single"/>
        </w:rPr>
        <w:t xml:space="preserve">Illustrative example </w:t>
      </w:r>
    </w:p>
    <w:p w14:paraId="020B475A" w14:textId="5182A0DB" w:rsidR="007C4F38" w:rsidRPr="005B0CA7" w:rsidRDefault="007C4F38" w:rsidP="007C4F38">
      <w:pPr>
        <w:pStyle w:val="BodyText"/>
        <w:rPr>
          <w:rFonts w:ascii="Century Gothic" w:hAnsi="Century Gothic" w:cs="Arial"/>
        </w:rPr>
      </w:pPr>
      <w:r w:rsidRPr="005B0CA7">
        <w:rPr>
          <w:rFonts w:ascii="Century Gothic" w:hAnsi="Century Gothic" w:cs="Arial"/>
        </w:rPr>
        <w:t>Below are the roles and responsibilities of key stakeholders</w:t>
      </w:r>
    </w:p>
    <w:p w14:paraId="080D8E27" w14:textId="77777777" w:rsidR="0098162C" w:rsidRPr="005B0CA7" w:rsidRDefault="0098162C" w:rsidP="00871EE8">
      <w:pPr>
        <w:pStyle w:val="ListParagraph"/>
        <w:keepNext/>
        <w:numPr>
          <w:ilvl w:val="0"/>
          <w:numId w:val="5"/>
        </w:numPr>
        <w:spacing w:before="120" w:line="240" w:lineRule="auto"/>
        <w:ind w:left="284" w:hanging="284"/>
        <w:contextualSpacing w:val="0"/>
        <w:rPr>
          <w:rFonts w:ascii="Century Gothic" w:hAnsi="Century Gothic"/>
        </w:rPr>
      </w:pPr>
      <w:r w:rsidRPr="005B0CA7">
        <w:rPr>
          <w:rFonts w:ascii="Century Gothic" w:hAnsi="Century Gothic"/>
        </w:rPr>
        <w:t>NERSA:</w:t>
      </w:r>
    </w:p>
    <w:p w14:paraId="0B13247F" w14:textId="77777777" w:rsidR="0098162C" w:rsidRPr="005B0CA7" w:rsidRDefault="0098162C" w:rsidP="00871EE8">
      <w:pPr>
        <w:pStyle w:val="BodyText"/>
        <w:numPr>
          <w:ilvl w:val="0"/>
          <w:numId w:val="42"/>
        </w:numPr>
        <w:spacing w:before="120" w:after="120" w:line="240" w:lineRule="auto"/>
        <w:rPr>
          <w:rFonts w:ascii="Century Gothic" w:hAnsi="Century Gothic" w:cs="Arial"/>
        </w:rPr>
      </w:pPr>
      <w:r>
        <w:rPr>
          <w:rFonts w:ascii="Century Gothic" w:hAnsi="Century Gothic" w:cs="Arial"/>
        </w:rPr>
        <w:t xml:space="preserve">Set guidelines for </w:t>
      </w:r>
      <w:r w:rsidRPr="005B0CA7">
        <w:rPr>
          <w:rFonts w:ascii="Century Gothic" w:hAnsi="Century Gothic" w:cs="Arial"/>
        </w:rPr>
        <w:t>tariffs</w:t>
      </w:r>
      <w:r>
        <w:rPr>
          <w:rFonts w:ascii="Century Gothic" w:hAnsi="Century Gothic" w:cs="Arial"/>
        </w:rPr>
        <w:t>.</w:t>
      </w:r>
    </w:p>
    <w:p w14:paraId="786BC3B2" w14:textId="77777777" w:rsidR="0098162C" w:rsidRDefault="0098162C" w:rsidP="00871EE8">
      <w:pPr>
        <w:pStyle w:val="BodyText"/>
        <w:numPr>
          <w:ilvl w:val="0"/>
          <w:numId w:val="42"/>
        </w:numPr>
        <w:spacing w:before="120" w:after="120" w:line="240" w:lineRule="auto"/>
        <w:rPr>
          <w:rFonts w:ascii="Century Gothic" w:hAnsi="Century Gothic" w:cs="Arial"/>
        </w:rPr>
      </w:pPr>
      <w:r>
        <w:rPr>
          <w:rFonts w:ascii="Century Gothic" w:hAnsi="Century Gothic" w:cs="Arial"/>
        </w:rPr>
        <w:t>Approve</w:t>
      </w:r>
      <w:r w:rsidRPr="005B0CA7">
        <w:rPr>
          <w:rFonts w:ascii="Century Gothic" w:hAnsi="Century Gothic" w:cs="Arial"/>
        </w:rPr>
        <w:t xml:space="preserve"> tariffs for transmission and distribution services, including the wheeling tariff.</w:t>
      </w:r>
    </w:p>
    <w:p w14:paraId="593F8045" w14:textId="77777777" w:rsidR="0098162C" w:rsidRPr="005B0CA7" w:rsidRDefault="0098162C" w:rsidP="00871EE8">
      <w:pPr>
        <w:pStyle w:val="BodyText"/>
        <w:numPr>
          <w:ilvl w:val="0"/>
          <w:numId w:val="42"/>
        </w:numPr>
        <w:spacing w:before="120" w:after="120" w:line="240" w:lineRule="auto"/>
        <w:rPr>
          <w:rFonts w:ascii="Century Gothic" w:hAnsi="Century Gothic" w:cs="Arial"/>
        </w:rPr>
      </w:pPr>
      <w:r w:rsidRPr="005B0CA7">
        <w:rPr>
          <w:rFonts w:ascii="Century Gothic" w:hAnsi="Century Gothic" w:cs="Arial"/>
        </w:rPr>
        <w:t>Approve applications for access to the grid by third-party generators and customers.</w:t>
      </w:r>
    </w:p>
    <w:p w14:paraId="3549C84A" w14:textId="7428B39A" w:rsidR="007C4F38" w:rsidRPr="005B0CA7" w:rsidRDefault="0098162C" w:rsidP="00871EE8">
      <w:pPr>
        <w:pStyle w:val="ListParagraph"/>
        <w:keepNext/>
        <w:numPr>
          <w:ilvl w:val="0"/>
          <w:numId w:val="5"/>
        </w:numPr>
        <w:spacing w:before="120" w:line="240" w:lineRule="auto"/>
        <w:ind w:left="284" w:hanging="284"/>
        <w:contextualSpacing w:val="0"/>
        <w:rPr>
          <w:rFonts w:ascii="Century Gothic" w:hAnsi="Century Gothic"/>
        </w:rPr>
      </w:pPr>
      <w:r w:rsidRPr="005B0CA7">
        <w:rPr>
          <w:rFonts w:ascii="Century Gothic" w:hAnsi="Century Gothic"/>
        </w:rPr>
        <w:t xml:space="preserve">Ensure compliance </w:t>
      </w:r>
      <w:r w:rsidR="007C4F38" w:rsidRPr="005B0CA7">
        <w:rPr>
          <w:rFonts w:ascii="Century Gothic" w:hAnsi="Century Gothic"/>
        </w:rPr>
        <w:t>Municipality:</w:t>
      </w:r>
    </w:p>
    <w:p w14:paraId="3AF566FA" w14:textId="4C122A0D" w:rsidR="0098162C" w:rsidRDefault="0098162C" w:rsidP="00871EE8">
      <w:pPr>
        <w:pStyle w:val="BodyText"/>
        <w:numPr>
          <w:ilvl w:val="0"/>
          <w:numId w:val="42"/>
        </w:numPr>
        <w:spacing w:before="120" w:after="120" w:line="240" w:lineRule="auto"/>
        <w:rPr>
          <w:rFonts w:ascii="Century Gothic" w:hAnsi="Century Gothic" w:cs="Arial"/>
        </w:rPr>
      </w:pPr>
      <w:r>
        <w:rPr>
          <w:rFonts w:ascii="Century Gothic" w:hAnsi="Century Gothic" w:cs="Arial"/>
        </w:rPr>
        <w:t>Design tariffs for wheeling</w:t>
      </w:r>
      <w:r w:rsidR="007A40F0">
        <w:rPr>
          <w:rFonts w:ascii="Century Gothic" w:hAnsi="Century Gothic" w:cs="Arial"/>
        </w:rPr>
        <w:t xml:space="preserve"> in line with a cost of supply study.</w:t>
      </w:r>
    </w:p>
    <w:p w14:paraId="6A959160" w14:textId="64520E24" w:rsidR="007C4F38" w:rsidRPr="005B0CA7" w:rsidRDefault="007C4F38" w:rsidP="00871EE8">
      <w:pPr>
        <w:pStyle w:val="BodyText"/>
        <w:numPr>
          <w:ilvl w:val="0"/>
          <w:numId w:val="42"/>
        </w:numPr>
        <w:spacing w:before="120" w:after="120" w:line="240" w:lineRule="auto"/>
        <w:rPr>
          <w:rFonts w:ascii="Century Gothic" w:hAnsi="Century Gothic" w:cs="Arial"/>
        </w:rPr>
      </w:pPr>
      <w:r w:rsidRPr="005B0CA7">
        <w:rPr>
          <w:rFonts w:ascii="Century Gothic" w:hAnsi="Century Gothic" w:cs="Arial"/>
        </w:rPr>
        <w:t>Provide and maintain the local electricity distribution network.</w:t>
      </w:r>
    </w:p>
    <w:p w14:paraId="06F70F8E" w14:textId="77777777" w:rsidR="007C4F38" w:rsidRPr="005B0CA7" w:rsidRDefault="007C4F38" w:rsidP="00871EE8">
      <w:pPr>
        <w:pStyle w:val="BodyText"/>
        <w:numPr>
          <w:ilvl w:val="0"/>
          <w:numId w:val="42"/>
        </w:numPr>
        <w:spacing w:before="120" w:after="120" w:line="240" w:lineRule="auto"/>
        <w:rPr>
          <w:rFonts w:ascii="Century Gothic" w:hAnsi="Century Gothic" w:cs="Arial"/>
        </w:rPr>
      </w:pPr>
      <w:r w:rsidRPr="005B0CA7">
        <w:rPr>
          <w:rFonts w:ascii="Century Gothic" w:hAnsi="Century Gothic" w:cs="Arial"/>
        </w:rPr>
        <w:t>Approve or reject applications for third-party access and open access transmission.</w:t>
      </w:r>
    </w:p>
    <w:p w14:paraId="4F1C81D8" w14:textId="77777777" w:rsidR="007C4F38" w:rsidRDefault="007C4F38" w:rsidP="00871EE8">
      <w:pPr>
        <w:pStyle w:val="BodyText"/>
        <w:numPr>
          <w:ilvl w:val="0"/>
          <w:numId w:val="42"/>
        </w:numPr>
        <w:spacing w:before="120" w:after="120" w:line="240" w:lineRule="auto"/>
        <w:rPr>
          <w:rFonts w:ascii="Century Gothic" w:hAnsi="Century Gothic" w:cs="Arial"/>
        </w:rPr>
      </w:pPr>
      <w:r w:rsidRPr="005B0CA7">
        <w:rPr>
          <w:rFonts w:ascii="Century Gothic" w:hAnsi="Century Gothic" w:cs="Arial"/>
        </w:rPr>
        <w:t>Ensure the safe and reliable operation of the grid, including compliance with relevant regulations and standards.</w:t>
      </w:r>
    </w:p>
    <w:p w14:paraId="4F0CE66A" w14:textId="4212C7B7" w:rsidR="00775076" w:rsidRDefault="00775076" w:rsidP="00871EE8">
      <w:pPr>
        <w:pStyle w:val="BodyText"/>
        <w:numPr>
          <w:ilvl w:val="0"/>
          <w:numId w:val="42"/>
        </w:numPr>
        <w:spacing w:before="120" w:after="120" w:line="240" w:lineRule="auto"/>
        <w:rPr>
          <w:rFonts w:ascii="Century Gothic" w:hAnsi="Century Gothic" w:cs="Arial"/>
        </w:rPr>
      </w:pPr>
      <w:r>
        <w:rPr>
          <w:rFonts w:ascii="Century Gothic" w:hAnsi="Century Gothic" w:cs="Arial"/>
        </w:rPr>
        <w:t>Measure the consumption of the off taker.</w:t>
      </w:r>
    </w:p>
    <w:p w14:paraId="6227E41A" w14:textId="7095E8D9" w:rsidR="00775076" w:rsidRPr="005B0CA7" w:rsidRDefault="00775076" w:rsidP="00871EE8">
      <w:pPr>
        <w:pStyle w:val="BodyText"/>
        <w:numPr>
          <w:ilvl w:val="0"/>
          <w:numId w:val="42"/>
        </w:numPr>
        <w:spacing w:before="120" w:after="120" w:line="240" w:lineRule="auto"/>
        <w:rPr>
          <w:rFonts w:ascii="Century Gothic" w:hAnsi="Century Gothic" w:cs="Arial"/>
        </w:rPr>
      </w:pPr>
      <w:r>
        <w:rPr>
          <w:rFonts w:ascii="Century Gothic" w:hAnsi="Century Gothic" w:cs="Arial"/>
        </w:rPr>
        <w:t>Apply appropriate billing for consumption and wheeling credits.</w:t>
      </w:r>
    </w:p>
    <w:p w14:paraId="13AE0B58" w14:textId="77777777" w:rsidR="007C4F38" w:rsidRPr="005B0CA7" w:rsidRDefault="007C4F38" w:rsidP="00871EE8">
      <w:pPr>
        <w:pStyle w:val="BodyText"/>
        <w:numPr>
          <w:ilvl w:val="0"/>
          <w:numId w:val="42"/>
        </w:numPr>
        <w:spacing w:before="120" w:after="120" w:line="240" w:lineRule="auto"/>
        <w:rPr>
          <w:rFonts w:ascii="Century Gothic" w:hAnsi="Century Gothic" w:cs="Arial"/>
        </w:rPr>
      </w:pPr>
      <w:r w:rsidRPr="005B0CA7">
        <w:rPr>
          <w:rFonts w:ascii="Century Gothic" w:hAnsi="Century Gothic" w:cs="Arial"/>
        </w:rPr>
        <w:t>Set and collect wheeling charges.</w:t>
      </w:r>
    </w:p>
    <w:p w14:paraId="16F5FA93" w14:textId="6481BEF2" w:rsidR="007C4F38" w:rsidRPr="005B0CA7" w:rsidRDefault="007C4F38" w:rsidP="00871EE8">
      <w:pPr>
        <w:pStyle w:val="ListParagraph"/>
        <w:keepNext/>
        <w:numPr>
          <w:ilvl w:val="0"/>
          <w:numId w:val="5"/>
        </w:numPr>
        <w:spacing w:before="120" w:line="240" w:lineRule="auto"/>
        <w:ind w:left="284" w:hanging="284"/>
        <w:contextualSpacing w:val="0"/>
        <w:rPr>
          <w:rFonts w:ascii="Century Gothic" w:hAnsi="Century Gothic"/>
        </w:rPr>
      </w:pPr>
      <w:r w:rsidRPr="005B0CA7">
        <w:rPr>
          <w:rFonts w:ascii="Century Gothic" w:hAnsi="Century Gothic"/>
        </w:rPr>
        <w:t>Independent Power Producer (IPP)</w:t>
      </w:r>
      <w:r w:rsidR="00942C25" w:rsidRPr="005B0CA7">
        <w:rPr>
          <w:rFonts w:ascii="Century Gothic" w:hAnsi="Century Gothic"/>
        </w:rPr>
        <w:t>/</w:t>
      </w:r>
      <w:r w:rsidR="00855B47" w:rsidRPr="005B0CA7">
        <w:rPr>
          <w:rFonts w:ascii="Century Gothic" w:hAnsi="Century Gothic"/>
        </w:rPr>
        <w:t xml:space="preserve"> </w:t>
      </w:r>
      <w:r w:rsidR="00942C25" w:rsidRPr="005B0CA7">
        <w:rPr>
          <w:rFonts w:ascii="Century Gothic" w:hAnsi="Century Gothic"/>
        </w:rPr>
        <w:t>Generator</w:t>
      </w:r>
      <w:r w:rsidRPr="005B0CA7">
        <w:rPr>
          <w:rFonts w:ascii="Century Gothic" w:hAnsi="Century Gothic"/>
        </w:rPr>
        <w:t>:</w:t>
      </w:r>
    </w:p>
    <w:p w14:paraId="759A9771" w14:textId="77777777" w:rsidR="007C4F38" w:rsidRPr="005B0CA7" w:rsidRDefault="007C4F38" w:rsidP="00871EE8">
      <w:pPr>
        <w:pStyle w:val="BodyText"/>
        <w:numPr>
          <w:ilvl w:val="0"/>
          <w:numId w:val="42"/>
        </w:numPr>
        <w:spacing w:before="120" w:after="120" w:line="240" w:lineRule="auto"/>
        <w:rPr>
          <w:rFonts w:ascii="Century Gothic" w:hAnsi="Century Gothic" w:cs="Arial"/>
        </w:rPr>
      </w:pPr>
      <w:r w:rsidRPr="005B0CA7">
        <w:rPr>
          <w:rFonts w:ascii="Century Gothic" w:hAnsi="Century Gothic" w:cs="Arial"/>
        </w:rPr>
        <w:t>Construct, operate, and maintain electricity generation facilities.</w:t>
      </w:r>
    </w:p>
    <w:p w14:paraId="46B0B32D" w14:textId="77777777" w:rsidR="007C4F38" w:rsidRPr="005B0CA7" w:rsidRDefault="007C4F38" w:rsidP="00871EE8">
      <w:pPr>
        <w:pStyle w:val="BodyText"/>
        <w:numPr>
          <w:ilvl w:val="0"/>
          <w:numId w:val="42"/>
        </w:numPr>
        <w:spacing w:before="120" w:after="120" w:line="240" w:lineRule="auto"/>
        <w:rPr>
          <w:rFonts w:ascii="Century Gothic" w:hAnsi="Century Gothic" w:cs="Arial"/>
        </w:rPr>
      </w:pPr>
      <w:r w:rsidRPr="005B0CA7">
        <w:rPr>
          <w:rFonts w:ascii="Century Gothic" w:hAnsi="Century Gothic" w:cs="Arial"/>
        </w:rPr>
        <w:t>Sell electricity to customers and/or traders.</w:t>
      </w:r>
    </w:p>
    <w:p w14:paraId="03D69932" w14:textId="77777777" w:rsidR="007C4F38" w:rsidRPr="005B0CA7" w:rsidRDefault="007C4F38" w:rsidP="00871EE8">
      <w:pPr>
        <w:pStyle w:val="BodyText"/>
        <w:numPr>
          <w:ilvl w:val="0"/>
          <w:numId w:val="42"/>
        </w:numPr>
        <w:spacing w:before="120" w:after="120" w:line="240" w:lineRule="auto"/>
        <w:rPr>
          <w:rFonts w:ascii="Century Gothic" w:hAnsi="Century Gothic" w:cs="Arial"/>
        </w:rPr>
      </w:pPr>
      <w:r w:rsidRPr="005B0CA7">
        <w:rPr>
          <w:rFonts w:ascii="Century Gothic" w:hAnsi="Century Gothic" w:cs="Arial"/>
        </w:rPr>
        <w:t>Comply with relevant regulations and standards.</w:t>
      </w:r>
    </w:p>
    <w:p w14:paraId="5ABFD074" w14:textId="77777777" w:rsidR="007C4F38" w:rsidRPr="005B0CA7" w:rsidRDefault="007C4F38" w:rsidP="00871EE8">
      <w:pPr>
        <w:pStyle w:val="BodyText"/>
        <w:numPr>
          <w:ilvl w:val="0"/>
          <w:numId w:val="42"/>
        </w:numPr>
        <w:spacing w:before="120" w:after="120" w:line="240" w:lineRule="auto"/>
        <w:rPr>
          <w:rFonts w:ascii="Century Gothic" w:hAnsi="Century Gothic" w:cs="Arial"/>
        </w:rPr>
      </w:pPr>
      <w:r w:rsidRPr="005B0CA7">
        <w:rPr>
          <w:rFonts w:ascii="Century Gothic" w:hAnsi="Century Gothic" w:cs="Arial"/>
        </w:rPr>
        <w:t>Be responsible for ensuring the safety and reliability of their electricity generation facilities.</w:t>
      </w:r>
    </w:p>
    <w:p w14:paraId="0BACE250" w14:textId="77777777" w:rsidR="007C4F38" w:rsidRPr="005B0CA7" w:rsidRDefault="007C4F38" w:rsidP="00871EE8">
      <w:pPr>
        <w:pStyle w:val="ListParagraph"/>
        <w:keepNext/>
        <w:numPr>
          <w:ilvl w:val="0"/>
          <w:numId w:val="5"/>
        </w:numPr>
        <w:spacing w:before="120" w:line="240" w:lineRule="auto"/>
        <w:ind w:left="284" w:hanging="284"/>
        <w:contextualSpacing w:val="0"/>
        <w:rPr>
          <w:rFonts w:ascii="Century Gothic" w:hAnsi="Century Gothic"/>
        </w:rPr>
      </w:pPr>
      <w:r w:rsidRPr="005B0CA7">
        <w:rPr>
          <w:rFonts w:ascii="Century Gothic" w:hAnsi="Century Gothic"/>
        </w:rPr>
        <w:t>Customer:</w:t>
      </w:r>
    </w:p>
    <w:p w14:paraId="0272C752" w14:textId="77777777" w:rsidR="007C4F38" w:rsidRPr="005B0CA7" w:rsidRDefault="007C4F38" w:rsidP="00871EE8">
      <w:pPr>
        <w:pStyle w:val="BodyText"/>
        <w:numPr>
          <w:ilvl w:val="0"/>
          <w:numId w:val="42"/>
        </w:numPr>
        <w:spacing w:before="120" w:after="120" w:line="240" w:lineRule="auto"/>
        <w:rPr>
          <w:rFonts w:ascii="Century Gothic" w:hAnsi="Century Gothic" w:cs="Arial"/>
        </w:rPr>
      </w:pPr>
      <w:r w:rsidRPr="005B0CA7">
        <w:rPr>
          <w:rFonts w:ascii="Century Gothic" w:hAnsi="Century Gothic" w:cs="Arial"/>
        </w:rPr>
        <w:t>Purchase electricity from the generator or trader.</w:t>
      </w:r>
    </w:p>
    <w:p w14:paraId="0855475F" w14:textId="77777777" w:rsidR="007C4F38" w:rsidRPr="005B0CA7" w:rsidRDefault="007C4F38" w:rsidP="00871EE8">
      <w:pPr>
        <w:pStyle w:val="BodyText"/>
        <w:numPr>
          <w:ilvl w:val="0"/>
          <w:numId w:val="42"/>
        </w:numPr>
        <w:spacing w:before="120" w:after="120" w:line="240" w:lineRule="auto"/>
        <w:rPr>
          <w:rFonts w:ascii="Century Gothic" w:hAnsi="Century Gothic" w:cs="Arial"/>
        </w:rPr>
      </w:pPr>
      <w:r w:rsidRPr="005B0CA7">
        <w:rPr>
          <w:rFonts w:ascii="Century Gothic" w:hAnsi="Century Gothic" w:cs="Arial"/>
        </w:rPr>
        <w:t>Comply with relevant regulations and standards.</w:t>
      </w:r>
    </w:p>
    <w:p w14:paraId="563CDF1D" w14:textId="4A6A6A5F" w:rsidR="00DB505D" w:rsidRPr="00DB505D" w:rsidRDefault="007C4F38" w:rsidP="00871EE8">
      <w:pPr>
        <w:pStyle w:val="BodyText"/>
        <w:numPr>
          <w:ilvl w:val="0"/>
          <w:numId w:val="42"/>
        </w:numPr>
        <w:spacing w:before="120" w:after="120" w:line="240" w:lineRule="auto"/>
        <w:rPr>
          <w:rFonts w:ascii="Century Gothic" w:hAnsi="Century Gothic" w:cs="Arial"/>
        </w:rPr>
      </w:pPr>
      <w:r w:rsidRPr="005B0CA7">
        <w:rPr>
          <w:rFonts w:ascii="Century Gothic" w:hAnsi="Century Gothic" w:cs="Arial"/>
        </w:rPr>
        <w:t>Install any necessary metering and control equipment on their premises.</w:t>
      </w:r>
    </w:p>
    <w:p w14:paraId="6A939E91" w14:textId="43740DA9" w:rsidR="007C4F38" w:rsidRPr="005B0CA7" w:rsidRDefault="007C4F38" w:rsidP="00871EE8">
      <w:pPr>
        <w:pStyle w:val="ListParagraph"/>
        <w:keepNext/>
        <w:numPr>
          <w:ilvl w:val="0"/>
          <w:numId w:val="5"/>
        </w:numPr>
        <w:spacing w:before="120" w:line="240" w:lineRule="auto"/>
        <w:ind w:left="284" w:hanging="284"/>
        <w:contextualSpacing w:val="0"/>
        <w:rPr>
          <w:rFonts w:ascii="Century Gothic" w:hAnsi="Century Gothic"/>
        </w:rPr>
      </w:pPr>
      <w:r w:rsidRPr="005B0CA7">
        <w:rPr>
          <w:rFonts w:ascii="Century Gothic" w:hAnsi="Century Gothic"/>
        </w:rPr>
        <w:t>Trader</w:t>
      </w:r>
      <w:r w:rsidR="00146A0A" w:rsidRPr="005B0CA7">
        <w:rPr>
          <w:rFonts w:ascii="Century Gothic" w:hAnsi="Century Gothic"/>
        </w:rPr>
        <w:t>/Aggregators</w:t>
      </w:r>
      <w:r w:rsidR="00B12E58" w:rsidRPr="005B0CA7">
        <w:rPr>
          <w:rFonts w:ascii="Century Gothic" w:hAnsi="Century Gothic"/>
        </w:rPr>
        <w:t xml:space="preserve"> if applicable</w:t>
      </w:r>
      <w:r w:rsidRPr="005B0CA7">
        <w:rPr>
          <w:rFonts w:ascii="Century Gothic" w:hAnsi="Century Gothic"/>
        </w:rPr>
        <w:t>:</w:t>
      </w:r>
    </w:p>
    <w:p w14:paraId="6C9B9727" w14:textId="2E0FC71E" w:rsidR="00B55F8B" w:rsidRPr="00213FD4" w:rsidRDefault="00B55F8B" w:rsidP="00871EE8">
      <w:pPr>
        <w:pStyle w:val="BodyText"/>
        <w:numPr>
          <w:ilvl w:val="0"/>
          <w:numId w:val="42"/>
        </w:numPr>
        <w:spacing w:before="120" w:after="120"/>
        <w:rPr>
          <w:rFonts w:ascii="Century Gothic" w:hAnsi="Century Gothic"/>
        </w:rPr>
      </w:pPr>
      <w:r w:rsidRPr="007C78AA">
        <w:rPr>
          <w:rFonts w:ascii="Century Gothic" w:hAnsi="Century Gothic"/>
        </w:rPr>
        <w:t xml:space="preserve">Trading is the buying and selling of electricity generated by </w:t>
      </w:r>
      <w:r w:rsidRPr="007C78AA">
        <w:rPr>
          <w:rFonts w:ascii="Century Gothic" w:hAnsi="Century Gothic"/>
          <w:i/>
          <w:iCs/>
        </w:rPr>
        <w:t xml:space="preserve">multiple </w:t>
      </w:r>
      <w:r w:rsidRPr="007C78AA">
        <w:rPr>
          <w:rFonts w:ascii="Century Gothic" w:hAnsi="Century Gothic"/>
        </w:rPr>
        <w:t>Independent Power Producers (IPPs) in many locations to multiple buys or off</w:t>
      </w:r>
      <w:r w:rsidR="004E7D25">
        <w:rPr>
          <w:rFonts w:ascii="Century Gothic" w:hAnsi="Century Gothic"/>
        </w:rPr>
        <w:t>-</w:t>
      </w:r>
      <w:r w:rsidRPr="007C78AA">
        <w:rPr>
          <w:rFonts w:ascii="Century Gothic" w:hAnsi="Century Gothic"/>
        </w:rPr>
        <w:t>takers in different locations</w:t>
      </w:r>
      <w:r>
        <w:rPr>
          <w:rFonts w:ascii="Century Gothic" w:hAnsi="Century Gothic"/>
        </w:rPr>
        <w:t xml:space="preserve"> facil</w:t>
      </w:r>
      <w:r w:rsidR="006C5308">
        <w:rPr>
          <w:rFonts w:ascii="Century Gothic" w:hAnsi="Century Gothic"/>
        </w:rPr>
        <w:t>it</w:t>
      </w:r>
      <w:r>
        <w:rPr>
          <w:rFonts w:ascii="Century Gothic" w:hAnsi="Century Gothic"/>
        </w:rPr>
        <w:t xml:space="preserve">ated by a </w:t>
      </w:r>
      <w:r w:rsidRPr="005B0CA7">
        <w:rPr>
          <w:rFonts w:ascii="Century Gothic" w:hAnsi="Century Gothic" w:cs="Arial"/>
        </w:rPr>
        <w:t>Trader/Aggregators</w:t>
      </w:r>
    </w:p>
    <w:p w14:paraId="7487B0F5" w14:textId="77777777" w:rsidR="00213FD4" w:rsidRPr="005B0CA7" w:rsidRDefault="00213FD4" w:rsidP="00871EE8">
      <w:pPr>
        <w:pStyle w:val="BodyText"/>
        <w:numPr>
          <w:ilvl w:val="0"/>
          <w:numId w:val="42"/>
        </w:numPr>
        <w:spacing w:before="120" w:after="120" w:line="240" w:lineRule="auto"/>
        <w:rPr>
          <w:rFonts w:ascii="Century Gothic" w:hAnsi="Century Gothic" w:cs="Arial"/>
        </w:rPr>
      </w:pPr>
      <w:r w:rsidRPr="005B0CA7">
        <w:rPr>
          <w:rFonts w:ascii="Century Gothic" w:hAnsi="Century Gothic" w:cs="Arial"/>
        </w:rPr>
        <w:t>Purchase electricity from generators and sell it to customers.</w:t>
      </w:r>
    </w:p>
    <w:p w14:paraId="149C96CD" w14:textId="77777777" w:rsidR="00213FD4" w:rsidRPr="005B0CA7" w:rsidRDefault="00213FD4" w:rsidP="00871EE8">
      <w:pPr>
        <w:pStyle w:val="BodyText"/>
        <w:numPr>
          <w:ilvl w:val="0"/>
          <w:numId w:val="42"/>
        </w:numPr>
        <w:spacing w:before="120" w:after="120" w:line="240" w:lineRule="auto"/>
        <w:rPr>
          <w:rFonts w:ascii="Century Gothic" w:hAnsi="Century Gothic" w:cs="Arial"/>
        </w:rPr>
      </w:pPr>
      <w:r w:rsidRPr="005B0CA7">
        <w:rPr>
          <w:rFonts w:ascii="Century Gothic" w:hAnsi="Century Gothic" w:cs="Arial"/>
        </w:rPr>
        <w:lastRenderedPageBreak/>
        <w:t>Arrange transmission services, if necessary.</w:t>
      </w:r>
    </w:p>
    <w:p w14:paraId="5651EA3F" w14:textId="77777777" w:rsidR="00213FD4" w:rsidRDefault="00213FD4" w:rsidP="00871EE8">
      <w:pPr>
        <w:pStyle w:val="BodyText"/>
        <w:numPr>
          <w:ilvl w:val="0"/>
          <w:numId w:val="42"/>
        </w:numPr>
        <w:spacing w:before="120" w:after="120" w:line="240" w:lineRule="auto"/>
        <w:rPr>
          <w:rFonts w:ascii="Century Gothic" w:hAnsi="Century Gothic" w:cs="Arial"/>
        </w:rPr>
      </w:pPr>
      <w:r w:rsidRPr="005B0CA7">
        <w:rPr>
          <w:rFonts w:ascii="Century Gothic" w:hAnsi="Century Gothic" w:cs="Arial"/>
        </w:rPr>
        <w:t>Comply with relevant regulations and standards.</w:t>
      </w:r>
    </w:p>
    <w:p w14:paraId="0C22AAC6" w14:textId="77777777" w:rsidR="00213FD4" w:rsidRPr="00B55F8B" w:rsidRDefault="00213FD4" w:rsidP="00871EE8">
      <w:pPr>
        <w:pStyle w:val="BodyText"/>
        <w:numPr>
          <w:ilvl w:val="0"/>
          <w:numId w:val="42"/>
        </w:numPr>
        <w:spacing w:before="120" w:after="120"/>
        <w:rPr>
          <w:rFonts w:ascii="Century Gothic" w:hAnsi="Century Gothic"/>
        </w:rPr>
      </w:pPr>
    </w:p>
    <w:p w14:paraId="5E0AE251" w14:textId="77777777" w:rsidR="007C4F38" w:rsidRPr="005B0CA7" w:rsidRDefault="007C4F38" w:rsidP="00871EE8">
      <w:pPr>
        <w:pStyle w:val="ListParagraph"/>
        <w:keepNext/>
        <w:numPr>
          <w:ilvl w:val="0"/>
          <w:numId w:val="5"/>
        </w:numPr>
        <w:spacing w:before="120" w:line="240" w:lineRule="auto"/>
        <w:ind w:left="284" w:hanging="284"/>
        <w:contextualSpacing w:val="0"/>
        <w:rPr>
          <w:rFonts w:ascii="Century Gothic" w:hAnsi="Century Gothic"/>
        </w:rPr>
      </w:pPr>
      <w:r w:rsidRPr="005B0CA7">
        <w:rPr>
          <w:rFonts w:ascii="Century Gothic" w:hAnsi="Century Gothic"/>
        </w:rPr>
        <w:t>Eskom:</w:t>
      </w:r>
    </w:p>
    <w:p w14:paraId="62991F0E" w14:textId="77777777" w:rsidR="007C4F38" w:rsidRPr="005B0CA7" w:rsidRDefault="007C4F38" w:rsidP="00871EE8">
      <w:pPr>
        <w:pStyle w:val="BodyText"/>
        <w:numPr>
          <w:ilvl w:val="0"/>
          <w:numId w:val="42"/>
        </w:numPr>
        <w:spacing w:before="120" w:after="120" w:line="240" w:lineRule="auto"/>
        <w:rPr>
          <w:rFonts w:ascii="Century Gothic" w:hAnsi="Century Gothic" w:cs="Arial"/>
        </w:rPr>
      </w:pPr>
      <w:r w:rsidRPr="005B0CA7">
        <w:rPr>
          <w:rFonts w:ascii="Century Gothic" w:hAnsi="Century Gothic" w:cs="Arial"/>
        </w:rPr>
        <w:t>Provide transmission services, if applicable.</w:t>
      </w:r>
    </w:p>
    <w:p w14:paraId="27494FED" w14:textId="77777777" w:rsidR="007C4F38" w:rsidRPr="005B0CA7" w:rsidRDefault="007C4F38" w:rsidP="00871EE8">
      <w:pPr>
        <w:pStyle w:val="BodyText"/>
        <w:numPr>
          <w:ilvl w:val="0"/>
          <w:numId w:val="42"/>
        </w:numPr>
        <w:spacing w:before="120" w:after="120" w:line="240" w:lineRule="auto"/>
        <w:rPr>
          <w:rFonts w:ascii="Century Gothic" w:hAnsi="Century Gothic" w:cs="Arial"/>
        </w:rPr>
      </w:pPr>
      <w:r w:rsidRPr="005B0CA7">
        <w:rPr>
          <w:rFonts w:ascii="Century Gothic" w:hAnsi="Century Gothic" w:cs="Arial"/>
        </w:rPr>
        <w:t>Coordinate with the Independent System and Market Operator (ISMO) to ensure the efficient operation of the grid.</w:t>
      </w:r>
    </w:p>
    <w:p w14:paraId="428C09E5" w14:textId="77777777" w:rsidR="007C4F38" w:rsidRPr="005B0CA7" w:rsidRDefault="007C4F38" w:rsidP="00871EE8">
      <w:pPr>
        <w:pStyle w:val="BodyText"/>
        <w:numPr>
          <w:ilvl w:val="0"/>
          <w:numId w:val="42"/>
        </w:numPr>
        <w:spacing w:before="120" w:after="120" w:line="240" w:lineRule="auto"/>
        <w:rPr>
          <w:rFonts w:ascii="Century Gothic" w:hAnsi="Century Gothic" w:cs="Arial"/>
        </w:rPr>
      </w:pPr>
      <w:r w:rsidRPr="005B0CA7">
        <w:rPr>
          <w:rFonts w:ascii="Century Gothic" w:hAnsi="Century Gothic" w:cs="Arial"/>
        </w:rPr>
        <w:t>Comply with relevant regulations and standards.</w:t>
      </w:r>
    </w:p>
    <w:p w14:paraId="766F9DF2" w14:textId="394F6172" w:rsidR="007C4F38" w:rsidRPr="005B0CA7" w:rsidRDefault="007C4F38" w:rsidP="00871EE8">
      <w:pPr>
        <w:pStyle w:val="BodyText"/>
        <w:numPr>
          <w:ilvl w:val="0"/>
          <w:numId w:val="42"/>
        </w:numPr>
        <w:spacing w:before="120" w:after="120" w:line="240" w:lineRule="auto"/>
        <w:rPr>
          <w:rFonts w:ascii="Century Gothic" w:hAnsi="Century Gothic" w:cs="Arial"/>
        </w:rPr>
      </w:pPr>
      <w:r w:rsidRPr="005B0CA7">
        <w:rPr>
          <w:rFonts w:ascii="Century Gothic" w:hAnsi="Century Gothic" w:cs="Arial"/>
        </w:rPr>
        <w:t>with relevant regulations and standards.</w:t>
      </w:r>
    </w:p>
    <w:p w14:paraId="6267E69B" w14:textId="121EC154" w:rsidR="00E300BE" w:rsidRPr="005B0CA7" w:rsidRDefault="00E300BE" w:rsidP="00871EE8">
      <w:pPr>
        <w:pStyle w:val="ListParagraph"/>
        <w:keepNext/>
        <w:numPr>
          <w:ilvl w:val="0"/>
          <w:numId w:val="5"/>
        </w:numPr>
        <w:spacing w:before="120" w:line="240" w:lineRule="auto"/>
        <w:ind w:left="284" w:hanging="284"/>
        <w:contextualSpacing w:val="0"/>
        <w:rPr>
          <w:rFonts w:ascii="Century Gothic" w:hAnsi="Century Gothic"/>
        </w:rPr>
      </w:pPr>
      <w:r w:rsidRPr="005B0CA7">
        <w:rPr>
          <w:rFonts w:ascii="Century Gothic" w:hAnsi="Century Gothic"/>
        </w:rPr>
        <w:t>TSO (</w:t>
      </w:r>
      <w:r w:rsidR="005B0CA7" w:rsidRPr="005B0CA7">
        <w:rPr>
          <w:rFonts w:ascii="Century Gothic" w:hAnsi="Century Gothic"/>
        </w:rPr>
        <w:t>TSO not yet formed and below is what is envisaged</w:t>
      </w:r>
      <w:r w:rsidRPr="005B0CA7">
        <w:rPr>
          <w:rFonts w:ascii="Century Gothic" w:hAnsi="Century Gothic"/>
        </w:rPr>
        <w:t>):</w:t>
      </w:r>
    </w:p>
    <w:p w14:paraId="76E5D914" w14:textId="485558F2" w:rsidR="005B0CA7" w:rsidRPr="005B0CA7" w:rsidRDefault="005B0CA7" w:rsidP="00871EE8">
      <w:pPr>
        <w:pStyle w:val="BodyText"/>
        <w:numPr>
          <w:ilvl w:val="0"/>
          <w:numId w:val="42"/>
        </w:numPr>
        <w:spacing w:before="120" w:after="120" w:line="240" w:lineRule="auto"/>
        <w:rPr>
          <w:rFonts w:ascii="Century Gothic" w:hAnsi="Century Gothic" w:cs="Arial"/>
        </w:rPr>
      </w:pPr>
      <w:r w:rsidRPr="005B0CA7">
        <w:rPr>
          <w:rFonts w:ascii="Century Gothic" w:hAnsi="Century Gothic" w:cs="Arial"/>
        </w:rPr>
        <w:t>The TSO, or Transmission System Operator, is responsible for the operation, maintenance, and development of the high-voltage transmission system.</w:t>
      </w:r>
    </w:p>
    <w:p w14:paraId="6AC5CAF3" w14:textId="3C2994B3" w:rsidR="005B0CA7" w:rsidRPr="005B0CA7" w:rsidRDefault="005B0CA7" w:rsidP="00871EE8">
      <w:pPr>
        <w:pStyle w:val="BodyText"/>
        <w:numPr>
          <w:ilvl w:val="0"/>
          <w:numId w:val="42"/>
        </w:numPr>
        <w:spacing w:before="120" w:after="120" w:line="240" w:lineRule="auto"/>
        <w:rPr>
          <w:rFonts w:ascii="Century Gothic" w:hAnsi="Century Gothic" w:cs="Arial"/>
        </w:rPr>
      </w:pPr>
      <w:r w:rsidRPr="005B0CA7">
        <w:rPr>
          <w:rFonts w:ascii="Century Gothic" w:hAnsi="Century Gothic" w:cs="Arial"/>
        </w:rPr>
        <w:t>Their role includes ensuring the secure and reliable transmission of electricity across the grid.</w:t>
      </w:r>
    </w:p>
    <w:p w14:paraId="4107C1B1" w14:textId="34C9E030" w:rsidR="005B0CA7" w:rsidRPr="005B0CA7" w:rsidRDefault="005B0CA7" w:rsidP="00871EE8">
      <w:pPr>
        <w:pStyle w:val="BodyText"/>
        <w:numPr>
          <w:ilvl w:val="0"/>
          <w:numId w:val="42"/>
        </w:numPr>
        <w:spacing w:before="120" w:after="120" w:line="240" w:lineRule="auto"/>
        <w:rPr>
          <w:rFonts w:ascii="Century Gothic" w:hAnsi="Century Gothic" w:cs="Arial"/>
        </w:rPr>
      </w:pPr>
      <w:r w:rsidRPr="005B0CA7">
        <w:rPr>
          <w:rFonts w:ascii="Century Gothic" w:hAnsi="Century Gothic" w:cs="Arial"/>
        </w:rPr>
        <w:t>The TSO manages the flow of electricity, monitors grid stability, and coordinates with other stakeholders to maintain the integrity of the transmission system.</w:t>
      </w:r>
    </w:p>
    <w:p w14:paraId="1AFDCB6A" w14:textId="34D96B3E" w:rsidR="007C78AA" w:rsidRPr="004853A2" w:rsidRDefault="005B0CA7" w:rsidP="00871EE8">
      <w:pPr>
        <w:pStyle w:val="BodyText"/>
        <w:numPr>
          <w:ilvl w:val="0"/>
          <w:numId w:val="42"/>
        </w:numPr>
        <w:spacing w:before="120" w:after="120" w:line="240" w:lineRule="auto"/>
        <w:rPr>
          <w:rFonts w:ascii="Century Gothic" w:hAnsi="Century Gothic" w:cs="Arial"/>
        </w:rPr>
      </w:pPr>
      <w:r w:rsidRPr="005B0CA7">
        <w:rPr>
          <w:rFonts w:ascii="Century Gothic" w:hAnsi="Century Gothic" w:cs="Arial"/>
        </w:rPr>
        <w:t>They also facilitate the connection of new generators to the transmission system and oversee the dispatch of electricity.</w:t>
      </w:r>
    </w:p>
    <w:p w14:paraId="36367C23" w14:textId="37DFE428" w:rsidR="00A947B1" w:rsidRPr="001158CB" w:rsidRDefault="00A947B1" w:rsidP="00A947B1">
      <w:pPr>
        <w:pStyle w:val="Heading1"/>
      </w:pPr>
      <w:bookmarkStart w:id="17" w:name="_Toc145484194"/>
      <w:r w:rsidRPr="001158CB">
        <w:t>General Guidelines and Conditions</w:t>
      </w:r>
      <w:bookmarkEnd w:id="17"/>
      <w:r w:rsidRPr="001158CB">
        <w:t xml:space="preserve"> </w:t>
      </w:r>
    </w:p>
    <w:p w14:paraId="556BF41B" w14:textId="2A594864" w:rsidR="00493EF2" w:rsidRPr="00493EF2" w:rsidRDefault="00493EF2" w:rsidP="00493EF2">
      <w:pPr>
        <w:shd w:val="clear" w:color="auto" w:fill="F2F2F2" w:themeFill="background1" w:themeFillShade="F2"/>
        <w:rPr>
          <w:rFonts w:ascii="Century Gothic" w:hAnsi="Century Gothic"/>
          <w:b/>
          <w:bCs/>
          <w:i/>
          <w:iCs/>
          <w:u w:val="single"/>
        </w:rPr>
      </w:pPr>
      <w:r w:rsidRPr="00493EF2">
        <w:rPr>
          <w:rFonts w:ascii="Segoe UI Emoji" w:hAnsi="Segoe UI Emoji" w:cs="Segoe UI Emoji"/>
        </w:rPr>
        <w:t>🔍</w:t>
      </w:r>
      <w:r w:rsidRPr="00493EF2">
        <w:rPr>
          <w:rFonts w:ascii="Century Gothic" w:hAnsi="Century Gothic"/>
          <w:b/>
          <w:bCs/>
          <w:i/>
          <w:iCs/>
          <w:u w:val="single"/>
        </w:rPr>
        <w:t xml:space="preserve"> Explanatory notes: </w:t>
      </w:r>
    </w:p>
    <w:p w14:paraId="1EF4872F" w14:textId="4C4143DB" w:rsidR="00DF34AB" w:rsidRPr="00CB6DDA" w:rsidRDefault="00DF34AB" w:rsidP="00493EF2">
      <w:pPr>
        <w:shd w:val="clear" w:color="auto" w:fill="F2F2F2" w:themeFill="background1" w:themeFillShade="F2"/>
        <w:rPr>
          <w:rFonts w:ascii="Century Gothic" w:hAnsi="Century Gothic"/>
          <w:i/>
          <w:iCs/>
        </w:rPr>
      </w:pPr>
      <w:r w:rsidRPr="00CB6DDA">
        <w:rPr>
          <w:rFonts w:ascii="Century Gothic" w:hAnsi="Century Gothic"/>
          <w:i/>
          <w:iCs/>
        </w:rPr>
        <w:t xml:space="preserve">The section on general guidelines and conditions establishes the overarching principles and regulations for the electricity wheeling process. </w:t>
      </w:r>
      <w:r w:rsidR="00A56758">
        <w:rPr>
          <w:rFonts w:ascii="Century Gothic" w:hAnsi="Century Gothic"/>
          <w:i/>
          <w:iCs/>
        </w:rPr>
        <w:t xml:space="preserve">The Municipality </w:t>
      </w:r>
      <w:r w:rsidRPr="00CB6DDA">
        <w:rPr>
          <w:rFonts w:ascii="Century Gothic" w:hAnsi="Century Gothic"/>
          <w:i/>
          <w:iCs/>
        </w:rPr>
        <w:t>have the responsibility to develop clear guidelines that align with these principles and ensure compliance with the Electricity Regulation Act (ERA) and national third-party wheeling rules. They should regularly review and update the guidelines, provide clarity and guidance to stakeholders, facilitate effective communication, and monitor compliance.</w:t>
      </w:r>
    </w:p>
    <w:p w14:paraId="409DD39C" w14:textId="6B9ACE58" w:rsidR="00493EF2" w:rsidRPr="00493EF2" w:rsidRDefault="00493EF2" w:rsidP="00A947B1">
      <w:pPr>
        <w:rPr>
          <w:rFonts w:ascii="Century Gothic" w:hAnsi="Century Gothic"/>
          <w:b/>
          <w:bCs/>
          <w:u w:val="single"/>
        </w:rPr>
      </w:pPr>
      <w:r w:rsidRPr="00FE49F7">
        <w:rPr>
          <w:rFonts w:ascii="Segoe UI Emoji" w:hAnsi="Segoe UI Emoji" w:cs="Segoe UI Emoji"/>
          <w:b/>
          <w:bCs/>
          <w:u w:val="single"/>
        </w:rPr>
        <w:t>💡</w:t>
      </w:r>
      <w:r w:rsidRPr="00FE49F7">
        <w:rPr>
          <w:rFonts w:ascii="Century Gothic" w:hAnsi="Century Gothic"/>
          <w:b/>
          <w:bCs/>
          <w:u w:val="single"/>
        </w:rPr>
        <w:t xml:space="preserve">Illustrative example </w:t>
      </w:r>
    </w:p>
    <w:p w14:paraId="3251967D" w14:textId="49D1ED26" w:rsidR="00A947B1" w:rsidRPr="002B7781" w:rsidRDefault="00A947B1" w:rsidP="00A947B1">
      <w:pPr>
        <w:rPr>
          <w:rFonts w:ascii="Century Gothic" w:hAnsi="Century Gothic"/>
        </w:rPr>
      </w:pPr>
      <w:r w:rsidRPr="002B7781">
        <w:rPr>
          <w:rFonts w:ascii="Century Gothic" w:hAnsi="Century Gothic"/>
        </w:rPr>
        <w:t xml:space="preserve">The following general </w:t>
      </w:r>
      <w:r w:rsidR="008E32CF" w:rsidRPr="002B7781">
        <w:rPr>
          <w:rFonts w:ascii="Century Gothic" w:hAnsi="Century Gothic"/>
        </w:rPr>
        <w:t>guidelines</w:t>
      </w:r>
      <w:r w:rsidRPr="002B7781">
        <w:rPr>
          <w:rFonts w:ascii="Century Gothic" w:hAnsi="Century Gothic"/>
        </w:rPr>
        <w:t xml:space="preserve"> </w:t>
      </w:r>
      <w:r w:rsidR="008E32CF" w:rsidRPr="002B7781">
        <w:rPr>
          <w:rFonts w:ascii="Century Gothic" w:hAnsi="Century Gothic"/>
        </w:rPr>
        <w:t xml:space="preserve">are </w:t>
      </w:r>
      <w:r w:rsidRPr="002B7781">
        <w:rPr>
          <w:rFonts w:ascii="Century Gothic" w:hAnsi="Century Gothic"/>
        </w:rPr>
        <w:t>appl</w:t>
      </w:r>
      <w:r w:rsidR="008E32CF" w:rsidRPr="002B7781">
        <w:rPr>
          <w:rFonts w:ascii="Century Gothic" w:hAnsi="Century Gothic"/>
        </w:rPr>
        <w:t xml:space="preserve">ied by the </w:t>
      </w:r>
      <w:r w:rsidR="007C4F38" w:rsidRPr="002B7781">
        <w:rPr>
          <w:rFonts w:ascii="Century Gothic" w:hAnsi="Century Gothic"/>
        </w:rPr>
        <w:t>Municipality</w:t>
      </w:r>
      <w:r w:rsidRPr="002B7781">
        <w:rPr>
          <w:rFonts w:ascii="Century Gothic" w:hAnsi="Century Gothic"/>
        </w:rPr>
        <w:t>:</w:t>
      </w:r>
    </w:p>
    <w:p w14:paraId="4CF05621" w14:textId="5C1A5510" w:rsidR="00A947B1" w:rsidRPr="002B7781" w:rsidRDefault="00A947B1" w:rsidP="00871EE8">
      <w:pPr>
        <w:pStyle w:val="ListParagraph"/>
        <w:keepNext/>
        <w:numPr>
          <w:ilvl w:val="0"/>
          <w:numId w:val="5"/>
        </w:numPr>
        <w:spacing w:before="120" w:line="240" w:lineRule="auto"/>
        <w:ind w:left="284" w:hanging="284"/>
        <w:contextualSpacing w:val="0"/>
        <w:rPr>
          <w:rFonts w:ascii="Century Gothic" w:hAnsi="Century Gothic"/>
        </w:rPr>
      </w:pPr>
      <w:r w:rsidRPr="00682360">
        <w:rPr>
          <w:rFonts w:ascii="Century Gothic" w:hAnsi="Century Gothic"/>
        </w:rPr>
        <w:t>Rights of Access</w:t>
      </w:r>
      <w:r w:rsidRPr="002B7781">
        <w:rPr>
          <w:rFonts w:ascii="Century Gothic" w:hAnsi="Century Gothic"/>
        </w:rPr>
        <w:t xml:space="preserve">: </w:t>
      </w:r>
      <w:r w:rsidR="008E32CF" w:rsidRPr="002B7781">
        <w:rPr>
          <w:rFonts w:ascii="Century Gothic" w:hAnsi="Century Gothic"/>
        </w:rPr>
        <w:t xml:space="preserve">The Municipality </w:t>
      </w:r>
      <w:r w:rsidRPr="002B7781">
        <w:rPr>
          <w:rFonts w:ascii="Century Gothic" w:hAnsi="Century Gothic"/>
        </w:rPr>
        <w:t>can connect customers (loads and generators) to the network based on their ability to do so, complying with relevant electricity regulations, transmission and distribution licenses, and electricity supply agreements.</w:t>
      </w:r>
    </w:p>
    <w:p w14:paraId="17D151DD" w14:textId="76235B43" w:rsidR="00A947B1" w:rsidRPr="002B7781" w:rsidRDefault="00A947B1" w:rsidP="00871EE8">
      <w:pPr>
        <w:pStyle w:val="ListParagraph"/>
        <w:keepNext/>
        <w:numPr>
          <w:ilvl w:val="0"/>
          <w:numId w:val="5"/>
        </w:numPr>
        <w:spacing w:before="120" w:line="240" w:lineRule="auto"/>
        <w:ind w:left="284" w:hanging="284"/>
        <w:contextualSpacing w:val="0"/>
        <w:rPr>
          <w:rFonts w:ascii="Century Gothic" w:hAnsi="Century Gothic"/>
        </w:rPr>
      </w:pPr>
      <w:r w:rsidRPr="00682360">
        <w:rPr>
          <w:rFonts w:ascii="Century Gothic" w:hAnsi="Century Gothic"/>
        </w:rPr>
        <w:t>Use-of-System Charges:</w:t>
      </w:r>
      <w:r w:rsidRPr="002B7781">
        <w:rPr>
          <w:rFonts w:ascii="Century Gothic" w:hAnsi="Century Gothic"/>
        </w:rPr>
        <w:t xml:space="preserve"> Third-party wheeling transactions cannot avoid use-of-system charges, and these charges must be non-discriminatory, treating customers supplied by the Licensee and those supplied through bilateral transactions equally.</w:t>
      </w:r>
    </w:p>
    <w:p w14:paraId="71F7DC26" w14:textId="375809A7" w:rsidR="00A947B1" w:rsidRPr="002B7781" w:rsidRDefault="00A947B1" w:rsidP="00871EE8">
      <w:pPr>
        <w:pStyle w:val="ListParagraph"/>
        <w:keepNext/>
        <w:numPr>
          <w:ilvl w:val="0"/>
          <w:numId w:val="5"/>
        </w:numPr>
        <w:spacing w:before="120" w:line="240" w:lineRule="auto"/>
        <w:ind w:left="284" w:hanging="284"/>
        <w:contextualSpacing w:val="0"/>
        <w:rPr>
          <w:rFonts w:ascii="Century Gothic" w:hAnsi="Century Gothic"/>
        </w:rPr>
      </w:pPr>
      <w:r w:rsidRPr="00682360">
        <w:rPr>
          <w:rFonts w:ascii="Century Gothic" w:hAnsi="Century Gothic"/>
        </w:rPr>
        <w:t>Incremental Charges:</w:t>
      </w:r>
      <w:r w:rsidRPr="002B7781">
        <w:rPr>
          <w:rFonts w:ascii="Century Gothic" w:hAnsi="Century Gothic"/>
        </w:rPr>
        <w:t xml:space="preserve"> Additional connection and administration charges may be applied for third-party wheeling transactions.</w:t>
      </w:r>
    </w:p>
    <w:p w14:paraId="52519B3C" w14:textId="5389BEBE" w:rsidR="00A947B1" w:rsidRPr="002B7781" w:rsidRDefault="00A947B1" w:rsidP="00871EE8">
      <w:pPr>
        <w:pStyle w:val="ListParagraph"/>
        <w:keepNext/>
        <w:numPr>
          <w:ilvl w:val="0"/>
          <w:numId w:val="5"/>
        </w:numPr>
        <w:spacing w:before="120" w:line="240" w:lineRule="auto"/>
        <w:ind w:left="284" w:hanging="284"/>
        <w:contextualSpacing w:val="0"/>
        <w:rPr>
          <w:rFonts w:ascii="Century Gothic" w:hAnsi="Century Gothic"/>
        </w:rPr>
      </w:pPr>
      <w:r w:rsidRPr="00682360">
        <w:rPr>
          <w:rFonts w:ascii="Century Gothic" w:hAnsi="Century Gothic"/>
        </w:rPr>
        <w:t>Accounting for Wheeled Energy</w:t>
      </w:r>
      <w:r w:rsidRPr="002B7781">
        <w:rPr>
          <w:rFonts w:ascii="Century Gothic" w:hAnsi="Century Gothic"/>
        </w:rPr>
        <w:t xml:space="preserve">: Since there is no direct flow of electrical energy between sites, the Licensee must account for the </w:t>
      </w:r>
      <w:r w:rsidR="00113D71">
        <w:rPr>
          <w:rFonts w:ascii="Century Gothic" w:hAnsi="Century Gothic"/>
        </w:rPr>
        <w:t>w</w:t>
      </w:r>
      <w:r w:rsidRPr="002B7781">
        <w:rPr>
          <w:rFonts w:ascii="Century Gothic" w:hAnsi="Century Gothic"/>
        </w:rPr>
        <w:t xml:space="preserve">heeled </w:t>
      </w:r>
      <w:r w:rsidR="00113D71">
        <w:rPr>
          <w:rFonts w:ascii="Century Gothic" w:hAnsi="Century Gothic"/>
        </w:rPr>
        <w:t>e</w:t>
      </w:r>
      <w:r w:rsidRPr="002B7781">
        <w:rPr>
          <w:rFonts w:ascii="Century Gothic" w:hAnsi="Century Gothic"/>
        </w:rPr>
        <w:t xml:space="preserve">nergy through a financial transaction. </w:t>
      </w:r>
      <w:r w:rsidRPr="002B7781">
        <w:rPr>
          <w:rFonts w:ascii="Century Gothic" w:hAnsi="Century Gothic"/>
        </w:rPr>
        <w:lastRenderedPageBreak/>
        <w:t xml:space="preserve">The energy usage is measured by the generator and the Licensee, and the Licensee includes it in the </w:t>
      </w:r>
      <w:r w:rsidR="00FB5506">
        <w:rPr>
          <w:rFonts w:ascii="Century Gothic" w:hAnsi="Century Gothic"/>
        </w:rPr>
        <w:t>Off-taker</w:t>
      </w:r>
      <w:r w:rsidRPr="002B7781">
        <w:rPr>
          <w:rFonts w:ascii="Century Gothic" w:hAnsi="Century Gothic"/>
        </w:rPr>
        <w:t>'s electricity bill.</w:t>
      </w:r>
    </w:p>
    <w:p w14:paraId="36F027D8" w14:textId="2586CAEF" w:rsidR="00A947B1" w:rsidRPr="002B7781" w:rsidRDefault="00A947B1" w:rsidP="00871EE8">
      <w:pPr>
        <w:pStyle w:val="ListParagraph"/>
        <w:keepNext/>
        <w:numPr>
          <w:ilvl w:val="0"/>
          <w:numId w:val="5"/>
        </w:numPr>
        <w:spacing w:before="120" w:line="240" w:lineRule="auto"/>
        <w:ind w:left="284" w:hanging="284"/>
        <w:contextualSpacing w:val="0"/>
        <w:rPr>
          <w:rFonts w:ascii="Century Gothic" w:hAnsi="Century Gothic"/>
        </w:rPr>
      </w:pPr>
      <w:r w:rsidRPr="00682360">
        <w:rPr>
          <w:rFonts w:ascii="Century Gothic" w:hAnsi="Century Gothic"/>
        </w:rPr>
        <w:t>Contracting and Amendments:</w:t>
      </w:r>
      <w:r w:rsidRPr="002B7781">
        <w:rPr>
          <w:rFonts w:ascii="Century Gothic" w:hAnsi="Century Gothic"/>
        </w:rPr>
        <w:t xml:space="preserve"> The acknowledgment of </w:t>
      </w:r>
      <w:r w:rsidR="002E1C78">
        <w:rPr>
          <w:rFonts w:ascii="Century Gothic" w:hAnsi="Century Gothic"/>
        </w:rPr>
        <w:t>w</w:t>
      </w:r>
      <w:r w:rsidRPr="002B7781">
        <w:rPr>
          <w:rFonts w:ascii="Century Gothic" w:hAnsi="Century Gothic"/>
        </w:rPr>
        <w:t xml:space="preserve">heeled </w:t>
      </w:r>
      <w:r w:rsidR="002E1C78">
        <w:rPr>
          <w:rFonts w:ascii="Century Gothic" w:hAnsi="Century Gothic"/>
        </w:rPr>
        <w:t>e</w:t>
      </w:r>
      <w:r w:rsidRPr="002B7781">
        <w:rPr>
          <w:rFonts w:ascii="Century Gothic" w:hAnsi="Century Gothic"/>
        </w:rPr>
        <w:t xml:space="preserve">nergy and the accounting mechanism is done through an amendment or addendum to the supply agreement between the </w:t>
      </w:r>
      <w:r w:rsidR="00FB5506">
        <w:rPr>
          <w:rFonts w:ascii="Century Gothic" w:hAnsi="Century Gothic"/>
        </w:rPr>
        <w:t>Off-taker</w:t>
      </w:r>
      <w:r w:rsidRPr="002B7781">
        <w:rPr>
          <w:rFonts w:ascii="Century Gothic" w:hAnsi="Century Gothic"/>
        </w:rPr>
        <w:t xml:space="preserve"> and the</w:t>
      </w:r>
      <w:r w:rsidR="0090434D" w:rsidRPr="002B7781">
        <w:rPr>
          <w:rFonts w:ascii="Century Gothic" w:hAnsi="Century Gothic"/>
        </w:rPr>
        <w:t xml:space="preserve"> Municipality</w:t>
      </w:r>
      <w:r w:rsidRPr="002B7781">
        <w:rPr>
          <w:rFonts w:ascii="Century Gothic" w:hAnsi="Century Gothic"/>
        </w:rPr>
        <w:t>.</w:t>
      </w:r>
    </w:p>
    <w:p w14:paraId="38078CB1" w14:textId="3F23F7E9" w:rsidR="00A947B1" w:rsidRPr="002B7781" w:rsidRDefault="00A947B1" w:rsidP="00871EE8">
      <w:pPr>
        <w:pStyle w:val="ListParagraph"/>
        <w:keepNext/>
        <w:numPr>
          <w:ilvl w:val="0"/>
          <w:numId w:val="5"/>
        </w:numPr>
        <w:spacing w:before="120" w:line="240" w:lineRule="auto"/>
        <w:ind w:left="284" w:hanging="284"/>
        <w:contextualSpacing w:val="0"/>
        <w:rPr>
          <w:rFonts w:ascii="Century Gothic" w:hAnsi="Century Gothic"/>
        </w:rPr>
      </w:pPr>
      <w:r w:rsidRPr="00682360">
        <w:rPr>
          <w:rFonts w:ascii="Century Gothic" w:hAnsi="Century Gothic"/>
        </w:rPr>
        <w:t>Buyer of Wheeled Energy</w:t>
      </w:r>
      <w:r w:rsidRPr="002B7781">
        <w:rPr>
          <w:rFonts w:ascii="Century Gothic" w:hAnsi="Century Gothic"/>
        </w:rPr>
        <w:t xml:space="preserve">: Unless </w:t>
      </w:r>
      <w:r w:rsidR="00FB2D4C">
        <w:rPr>
          <w:rFonts w:ascii="Century Gothic" w:hAnsi="Century Gothic"/>
        </w:rPr>
        <w:t>t</w:t>
      </w:r>
      <w:r w:rsidR="0090434D" w:rsidRPr="002B7781">
        <w:rPr>
          <w:rFonts w:ascii="Century Gothic" w:hAnsi="Century Gothic"/>
        </w:rPr>
        <w:t xml:space="preserve">he Municipality </w:t>
      </w:r>
      <w:r w:rsidRPr="002B7781">
        <w:rPr>
          <w:rFonts w:ascii="Century Gothic" w:hAnsi="Century Gothic"/>
        </w:rPr>
        <w:t>has a Power Purchase Agreement (PPA) with a Seller not connected to their network, they are not the buyer of the Wheeled Energy.</w:t>
      </w:r>
    </w:p>
    <w:p w14:paraId="2B888430" w14:textId="6480D687" w:rsidR="00A947B1" w:rsidRPr="00CB7222" w:rsidRDefault="00A947B1" w:rsidP="00CB7222">
      <w:pPr>
        <w:spacing w:beforeLines="60" w:before="144" w:afterLines="60" w:after="144" w:line="240" w:lineRule="auto"/>
        <w:rPr>
          <w:rFonts w:ascii="Century Gothic" w:hAnsi="Century Gothic"/>
        </w:rPr>
      </w:pPr>
      <w:r w:rsidRPr="00CB7222">
        <w:rPr>
          <w:rFonts w:ascii="Century Gothic" w:hAnsi="Century Gothic"/>
        </w:rPr>
        <w:t xml:space="preserve">Third-party wheeling of energy is allowed </w:t>
      </w:r>
      <w:r w:rsidR="0090434D" w:rsidRPr="00CB7222">
        <w:rPr>
          <w:rFonts w:ascii="Century Gothic" w:hAnsi="Century Gothic"/>
        </w:rPr>
        <w:t xml:space="preserve">by the Municipality </w:t>
      </w:r>
      <w:r w:rsidRPr="00CB7222">
        <w:rPr>
          <w:rFonts w:ascii="Century Gothic" w:hAnsi="Century Gothic"/>
        </w:rPr>
        <w:t>under the following conditions:</w:t>
      </w:r>
    </w:p>
    <w:p w14:paraId="2F43FDC8" w14:textId="77777777" w:rsidR="00A947B1" w:rsidRPr="00CB7222" w:rsidRDefault="00A947B1" w:rsidP="00871EE8">
      <w:pPr>
        <w:pStyle w:val="ListParagraph"/>
        <w:keepNext/>
        <w:numPr>
          <w:ilvl w:val="0"/>
          <w:numId w:val="5"/>
        </w:numPr>
        <w:spacing w:beforeLines="60" w:before="144" w:afterLines="60" w:after="144" w:line="240" w:lineRule="auto"/>
        <w:ind w:left="284" w:hanging="284"/>
        <w:contextualSpacing w:val="0"/>
        <w:rPr>
          <w:rFonts w:ascii="Century Gothic" w:hAnsi="Century Gothic"/>
        </w:rPr>
      </w:pPr>
      <w:r w:rsidRPr="00CB7222">
        <w:rPr>
          <w:rFonts w:ascii="Century Gothic" w:hAnsi="Century Gothic"/>
        </w:rPr>
        <w:t>Compliance with Legislative Instruments: All parties must comply with relevant legislation, including Acts, bylaws, Codes, and Licensee agreements.</w:t>
      </w:r>
    </w:p>
    <w:p w14:paraId="612820CE" w14:textId="6DC6E3F3" w:rsidR="00A947B1" w:rsidRPr="00CB7222" w:rsidRDefault="00A947B1" w:rsidP="00871EE8">
      <w:pPr>
        <w:pStyle w:val="BodyText"/>
        <w:numPr>
          <w:ilvl w:val="0"/>
          <w:numId w:val="42"/>
        </w:numPr>
        <w:spacing w:beforeLines="60" w:before="144" w:afterLines="60" w:after="144" w:line="240" w:lineRule="auto"/>
        <w:rPr>
          <w:rFonts w:ascii="Century Gothic" w:hAnsi="Century Gothic" w:cs="Arial"/>
        </w:rPr>
      </w:pPr>
      <w:r w:rsidRPr="00CB7222">
        <w:rPr>
          <w:rFonts w:ascii="Century Gothic" w:hAnsi="Century Gothic" w:cs="Arial"/>
        </w:rPr>
        <w:t xml:space="preserve">Generator Requirements: The generator must have a Code-compliant connection and a </w:t>
      </w:r>
      <w:r w:rsidR="005A0064">
        <w:rPr>
          <w:rFonts w:ascii="Century Gothic" w:hAnsi="Century Gothic" w:cs="Arial"/>
        </w:rPr>
        <w:t>C</w:t>
      </w:r>
      <w:r w:rsidRPr="00CB7222">
        <w:rPr>
          <w:rFonts w:ascii="Century Gothic" w:hAnsi="Century Gothic" w:cs="Arial"/>
        </w:rPr>
        <w:t xml:space="preserve">onnection and </w:t>
      </w:r>
      <w:r w:rsidR="005A0064">
        <w:rPr>
          <w:rFonts w:ascii="Century Gothic" w:hAnsi="Century Gothic" w:cs="Arial"/>
        </w:rPr>
        <w:t>U</w:t>
      </w:r>
      <w:r w:rsidRPr="00CB7222">
        <w:rPr>
          <w:rFonts w:ascii="Century Gothic" w:hAnsi="Century Gothic" w:cs="Arial"/>
        </w:rPr>
        <w:t>se</w:t>
      </w:r>
      <w:r w:rsidR="00045D87">
        <w:rPr>
          <w:rFonts w:ascii="Century Gothic" w:hAnsi="Century Gothic" w:cs="Arial"/>
        </w:rPr>
        <w:t>-</w:t>
      </w:r>
      <w:r w:rsidRPr="00CB7222">
        <w:rPr>
          <w:rFonts w:ascii="Century Gothic" w:hAnsi="Century Gothic" w:cs="Arial"/>
        </w:rPr>
        <w:t>of</w:t>
      </w:r>
      <w:r w:rsidR="005A0064">
        <w:rPr>
          <w:rFonts w:ascii="Century Gothic" w:hAnsi="Century Gothic" w:cs="Arial"/>
        </w:rPr>
        <w:t>-S</w:t>
      </w:r>
      <w:r w:rsidRPr="00CB7222">
        <w:rPr>
          <w:rFonts w:ascii="Century Gothic" w:hAnsi="Century Gothic" w:cs="Arial"/>
        </w:rPr>
        <w:t xml:space="preserve">ystem </w:t>
      </w:r>
      <w:r w:rsidR="005A0064">
        <w:rPr>
          <w:rFonts w:ascii="Century Gothic" w:hAnsi="Century Gothic" w:cs="Arial"/>
        </w:rPr>
        <w:t>A</w:t>
      </w:r>
      <w:r w:rsidRPr="00CB7222">
        <w:rPr>
          <w:rFonts w:ascii="Century Gothic" w:hAnsi="Century Gothic" w:cs="Arial"/>
        </w:rPr>
        <w:t>greement with the Licensee. They must also register with the National Energy Regulator of South Africa (NERSA) to comply with Schedule 2 of the Electricity Regulation Act (ERA).</w:t>
      </w:r>
    </w:p>
    <w:p w14:paraId="425C7548" w14:textId="06A33E5B" w:rsidR="00A947B1" w:rsidRPr="00CB7222" w:rsidRDefault="00FB5506" w:rsidP="00871EE8">
      <w:pPr>
        <w:pStyle w:val="BodyText"/>
        <w:numPr>
          <w:ilvl w:val="0"/>
          <w:numId w:val="42"/>
        </w:numPr>
        <w:spacing w:beforeLines="60" w:before="144" w:afterLines="60" w:after="144" w:line="240" w:lineRule="auto"/>
        <w:rPr>
          <w:rFonts w:ascii="Century Gothic" w:hAnsi="Century Gothic" w:cs="Arial"/>
        </w:rPr>
      </w:pPr>
      <w:r w:rsidRPr="00CB7222">
        <w:rPr>
          <w:rFonts w:ascii="Century Gothic" w:hAnsi="Century Gothic" w:cs="Arial"/>
        </w:rPr>
        <w:t>Off-taker</w:t>
      </w:r>
      <w:r w:rsidR="00A947B1" w:rsidRPr="00CB7222">
        <w:rPr>
          <w:rFonts w:ascii="Century Gothic" w:hAnsi="Century Gothic" w:cs="Arial"/>
        </w:rPr>
        <w:t xml:space="preserve"> Requirements: The </w:t>
      </w:r>
      <w:r w:rsidRPr="00CB7222">
        <w:rPr>
          <w:rFonts w:ascii="Century Gothic" w:hAnsi="Century Gothic" w:cs="Arial"/>
        </w:rPr>
        <w:t>Off-taker</w:t>
      </w:r>
      <w:r w:rsidR="00A947B1" w:rsidRPr="00CB7222">
        <w:rPr>
          <w:rFonts w:ascii="Century Gothic" w:hAnsi="Century Gothic" w:cs="Arial"/>
        </w:rPr>
        <w:t xml:space="preserve"> must sign an amendment or addendum to the electricity supply agreement with the Licensee to account for the Wheeled Energy.</w:t>
      </w:r>
    </w:p>
    <w:p w14:paraId="1F24A318" w14:textId="127E7EFD" w:rsidR="00A947B1" w:rsidRPr="00CB7222" w:rsidRDefault="00A947B1" w:rsidP="00871EE8">
      <w:pPr>
        <w:pStyle w:val="BodyText"/>
        <w:numPr>
          <w:ilvl w:val="0"/>
          <w:numId w:val="42"/>
        </w:numPr>
        <w:spacing w:beforeLines="60" w:before="144" w:afterLines="60" w:after="144" w:line="240" w:lineRule="auto"/>
        <w:rPr>
          <w:rFonts w:ascii="Century Gothic" w:hAnsi="Century Gothic" w:cs="Arial"/>
        </w:rPr>
      </w:pPr>
      <w:r w:rsidRPr="00CB7222">
        <w:rPr>
          <w:rFonts w:ascii="Century Gothic" w:hAnsi="Century Gothic" w:cs="Arial"/>
        </w:rPr>
        <w:t>Licensing Requirements: Entities involved in transmitting or distributing power in South Africa require a NERSA-approved Transmission or Distribution License. Trading licenses are required for entities engaged in buying and selling electricity commercially. Resellers have specific conditions under the NERSA Resellers Guideline.</w:t>
      </w:r>
    </w:p>
    <w:p w14:paraId="78A223FD" w14:textId="0223E1DC" w:rsidR="00A947B1" w:rsidRPr="00CB7222" w:rsidRDefault="00A947B1" w:rsidP="00871EE8">
      <w:pPr>
        <w:pStyle w:val="ListParagraph"/>
        <w:numPr>
          <w:ilvl w:val="0"/>
          <w:numId w:val="41"/>
        </w:numPr>
        <w:spacing w:beforeLines="60" w:before="144" w:afterLines="60" w:after="144" w:line="240" w:lineRule="auto"/>
        <w:ind w:hanging="361"/>
        <w:contextualSpacing w:val="0"/>
        <w:rPr>
          <w:rFonts w:ascii="Century Gothic" w:hAnsi="Century Gothic"/>
        </w:rPr>
      </w:pPr>
      <w:r w:rsidRPr="00CB7222">
        <w:rPr>
          <w:rFonts w:ascii="Century Gothic" w:hAnsi="Century Gothic"/>
        </w:rPr>
        <w:t xml:space="preserve">Approval of Use-of-System Charges: Use-of-system charges raised by </w:t>
      </w:r>
      <w:r w:rsidR="0017421C">
        <w:rPr>
          <w:rFonts w:ascii="Century Gothic" w:hAnsi="Century Gothic"/>
        </w:rPr>
        <w:t>t</w:t>
      </w:r>
      <w:r w:rsidR="0090434D" w:rsidRPr="00CB7222">
        <w:rPr>
          <w:rFonts w:ascii="Century Gothic" w:hAnsi="Century Gothic"/>
        </w:rPr>
        <w:t>he Municipality</w:t>
      </w:r>
      <w:r w:rsidRPr="00CB7222">
        <w:rPr>
          <w:rFonts w:ascii="Century Gothic" w:hAnsi="Century Gothic"/>
        </w:rPr>
        <w:t xml:space="preserve"> must be approved by NERSA.</w:t>
      </w:r>
    </w:p>
    <w:p w14:paraId="1148C01E" w14:textId="17F904E3" w:rsidR="00A947B1" w:rsidRPr="00CB7222" w:rsidRDefault="00A947B1" w:rsidP="00871EE8">
      <w:pPr>
        <w:pStyle w:val="ListParagraph"/>
        <w:numPr>
          <w:ilvl w:val="0"/>
          <w:numId w:val="41"/>
        </w:numPr>
        <w:spacing w:beforeLines="60" w:before="144" w:afterLines="60" w:after="144" w:line="240" w:lineRule="auto"/>
        <w:ind w:hanging="361"/>
        <w:contextualSpacing w:val="0"/>
        <w:rPr>
          <w:rFonts w:ascii="Century Gothic" w:hAnsi="Century Gothic"/>
        </w:rPr>
      </w:pPr>
      <w:r w:rsidRPr="00CB7222">
        <w:rPr>
          <w:rFonts w:ascii="Century Gothic" w:hAnsi="Century Gothic"/>
        </w:rPr>
        <w:t>Approval of Wheeling Credit Rate/Tariff: NERSA must approve the wheeling credit rate/tariff or transaction mechanism for accounting Wheeled Energy to ensure it does not impact the tariffs of other customers.</w:t>
      </w:r>
    </w:p>
    <w:p w14:paraId="047A2C00" w14:textId="17E5BC5B" w:rsidR="00A947B1" w:rsidRPr="00CB7222" w:rsidRDefault="00A947B1" w:rsidP="00871EE8">
      <w:pPr>
        <w:pStyle w:val="ListParagraph"/>
        <w:numPr>
          <w:ilvl w:val="0"/>
          <w:numId w:val="41"/>
        </w:numPr>
        <w:spacing w:beforeLines="60" w:before="144" w:afterLines="60" w:after="144" w:line="240" w:lineRule="auto"/>
        <w:ind w:hanging="361"/>
        <w:contextualSpacing w:val="0"/>
        <w:rPr>
          <w:rFonts w:ascii="Century Gothic" w:hAnsi="Century Gothic"/>
        </w:rPr>
      </w:pPr>
      <w:r w:rsidRPr="00CB7222">
        <w:rPr>
          <w:rFonts w:ascii="Century Gothic" w:hAnsi="Century Gothic"/>
        </w:rPr>
        <w:t xml:space="preserve">Payment of Charges: The generator and </w:t>
      </w:r>
      <w:r w:rsidR="00FB5506" w:rsidRPr="00CB7222">
        <w:rPr>
          <w:rFonts w:ascii="Century Gothic" w:hAnsi="Century Gothic"/>
        </w:rPr>
        <w:t>Off-taker</w:t>
      </w:r>
      <w:r w:rsidRPr="00CB7222">
        <w:rPr>
          <w:rFonts w:ascii="Century Gothic" w:hAnsi="Century Gothic"/>
        </w:rPr>
        <w:t xml:space="preserve"> are responsible for paying all charges associated with the wheeling transaction.</w:t>
      </w:r>
    </w:p>
    <w:p w14:paraId="3D6C7770" w14:textId="4A8F528B" w:rsidR="00A947B1" w:rsidRPr="00CB7222" w:rsidRDefault="00A947B1" w:rsidP="00871EE8">
      <w:pPr>
        <w:pStyle w:val="ListParagraph"/>
        <w:numPr>
          <w:ilvl w:val="0"/>
          <w:numId w:val="41"/>
        </w:numPr>
        <w:spacing w:beforeLines="60" w:before="144" w:afterLines="60" w:after="144" w:line="240" w:lineRule="auto"/>
        <w:ind w:hanging="361"/>
        <w:contextualSpacing w:val="0"/>
        <w:rPr>
          <w:rFonts w:ascii="Century Gothic" w:hAnsi="Century Gothic"/>
        </w:rPr>
      </w:pPr>
      <w:r w:rsidRPr="00CB7222">
        <w:rPr>
          <w:rFonts w:ascii="Century Gothic" w:hAnsi="Century Gothic"/>
        </w:rPr>
        <w:t xml:space="preserve">Additional Conditions: </w:t>
      </w:r>
      <w:r w:rsidR="0090434D" w:rsidRPr="00CB7222">
        <w:rPr>
          <w:rFonts w:ascii="Century Gothic" w:hAnsi="Century Gothic"/>
        </w:rPr>
        <w:t>The Municipality</w:t>
      </w:r>
      <w:r w:rsidRPr="00CB7222">
        <w:rPr>
          <w:rFonts w:ascii="Century Gothic" w:hAnsi="Century Gothic"/>
        </w:rPr>
        <w:t xml:space="preserve"> may impose other conditions deemed necessary as long as they do not conflict with the established rules, ERA, Codes, and the Electricity Pricing Policy (EPP).</w:t>
      </w:r>
    </w:p>
    <w:p w14:paraId="7D2FF8F0" w14:textId="334CFACC" w:rsidR="0090434D" w:rsidRPr="00CB7222" w:rsidRDefault="0090434D" w:rsidP="00871EE8">
      <w:pPr>
        <w:pStyle w:val="ListParagraph"/>
        <w:numPr>
          <w:ilvl w:val="0"/>
          <w:numId w:val="41"/>
        </w:numPr>
        <w:spacing w:beforeLines="60" w:before="144" w:afterLines="60" w:after="144" w:line="240" w:lineRule="auto"/>
        <w:ind w:hanging="361"/>
        <w:contextualSpacing w:val="0"/>
        <w:rPr>
          <w:rFonts w:ascii="Century Gothic" w:hAnsi="Century Gothic"/>
        </w:rPr>
      </w:pPr>
      <w:r w:rsidRPr="00CB7222">
        <w:rPr>
          <w:rFonts w:ascii="Century Gothic" w:hAnsi="Century Gothic"/>
        </w:rPr>
        <w:t>NERSA licenced / registered: Only NERSA licenced / registered generators will be allowed to wheel</w:t>
      </w:r>
      <w:r w:rsidR="008B12B1" w:rsidRPr="00CB7222">
        <w:rPr>
          <w:rFonts w:ascii="Century Gothic" w:hAnsi="Century Gothic"/>
        </w:rPr>
        <w:t>.</w:t>
      </w:r>
    </w:p>
    <w:p w14:paraId="346E0EA4" w14:textId="77777777" w:rsidR="0090434D" w:rsidRPr="00CB7222" w:rsidRDefault="0090434D" w:rsidP="00871EE8">
      <w:pPr>
        <w:pStyle w:val="ListParagraph"/>
        <w:numPr>
          <w:ilvl w:val="0"/>
          <w:numId w:val="41"/>
        </w:numPr>
        <w:spacing w:beforeLines="60" w:before="144" w:afterLines="60" w:after="144" w:line="240" w:lineRule="auto"/>
        <w:ind w:hanging="361"/>
        <w:contextualSpacing w:val="0"/>
        <w:rPr>
          <w:rFonts w:ascii="Century Gothic" w:hAnsi="Century Gothic"/>
        </w:rPr>
      </w:pPr>
      <w:r w:rsidRPr="00CB7222">
        <w:rPr>
          <w:rFonts w:ascii="Century Gothic" w:hAnsi="Century Gothic"/>
        </w:rPr>
        <w:t xml:space="preserve">Limit on total capacity: The allocation of the Municipality’s wheeling capacity will be done on a basis to ensure that competitive market will prevail, and lowest possible prices can be achieved.  </w:t>
      </w:r>
    </w:p>
    <w:p w14:paraId="7D34825D" w14:textId="77777777" w:rsidR="0090434D" w:rsidRPr="00CB7222" w:rsidRDefault="0090434D" w:rsidP="00871EE8">
      <w:pPr>
        <w:pStyle w:val="ListParagraph"/>
        <w:numPr>
          <w:ilvl w:val="0"/>
          <w:numId w:val="41"/>
        </w:numPr>
        <w:spacing w:beforeLines="60" w:before="144" w:afterLines="60" w:after="144" w:line="240" w:lineRule="auto"/>
        <w:ind w:hanging="361"/>
        <w:contextualSpacing w:val="0"/>
        <w:rPr>
          <w:rFonts w:ascii="Century Gothic" w:hAnsi="Century Gothic"/>
        </w:rPr>
      </w:pPr>
      <w:r w:rsidRPr="00CB7222">
        <w:rPr>
          <w:rFonts w:ascii="Century Gothic" w:hAnsi="Century Gothic"/>
        </w:rPr>
        <w:t xml:space="preserve">Limit on capacity per applicant: A maximum export capacity allocation will be allowed per applicant for the initial period. This value cannot be exceeded unless approved by the Director. The Municipality will review this allocation when required. </w:t>
      </w:r>
    </w:p>
    <w:p w14:paraId="627A335A" w14:textId="708CE79F" w:rsidR="0090434D" w:rsidRPr="00CB7222" w:rsidRDefault="0090434D" w:rsidP="00871EE8">
      <w:pPr>
        <w:pStyle w:val="ListParagraph"/>
        <w:numPr>
          <w:ilvl w:val="0"/>
          <w:numId w:val="41"/>
        </w:numPr>
        <w:spacing w:beforeLines="60" w:before="144" w:afterLines="60" w:after="144" w:line="240" w:lineRule="auto"/>
        <w:ind w:hanging="361"/>
        <w:contextualSpacing w:val="0"/>
        <w:rPr>
          <w:rFonts w:ascii="Century Gothic" w:hAnsi="Century Gothic"/>
        </w:rPr>
      </w:pPr>
      <w:r w:rsidRPr="00CB7222">
        <w:rPr>
          <w:rFonts w:ascii="Century Gothic" w:hAnsi="Century Gothic"/>
        </w:rPr>
        <w:t xml:space="preserve">Minimum connection size of the </w:t>
      </w:r>
      <w:r w:rsidR="00FB5506" w:rsidRPr="00CB7222">
        <w:rPr>
          <w:rFonts w:ascii="Century Gothic" w:hAnsi="Century Gothic"/>
        </w:rPr>
        <w:t>off-taker</w:t>
      </w:r>
      <w:r w:rsidRPr="00CB7222">
        <w:rPr>
          <w:rFonts w:ascii="Century Gothic" w:hAnsi="Century Gothic"/>
        </w:rPr>
        <w:t xml:space="preserve">: The </w:t>
      </w:r>
      <w:r w:rsidR="00FB5506" w:rsidRPr="00CB7222">
        <w:rPr>
          <w:rFonts w:ascii="Century Gothic" w:hAnsi="Century Gothic"/>
        </w:rPr>
        <w:t>off-taker</w:t>
      </w:r>
      <w:r w:rsidRPr="00CB7222">
        <w:rPr>
          <w:rFonts w:ascii="Century Gothic" w:hAnsi="Century Gothic"/>
        </w:rPr>
        <w:t xml:space="preserve"> must be connected to the Municipality’s Medium Voltage network and must be on a time-of-use tariff.</w:t>
      </w:r>
      <w:r w:rsidR="00B940D5">
        <w:rPr>
          <w:rFonts w:ascii="Century Gothic" w:hAnsi="Century Gothic"/>
        </w:rPr>
        <w:t xml:space="preserve"> This is </w:t>
      </w:r>
      <w:r w:rsidR="005D1A3E">
        <w:rPr>
          <w:rFonts w:ascii="Century Gothic" w:hAnsi="Century Gothic"/>
        </w:rPr>
        <w:t xml:space="preserve">not a hard </w:t>
      </w:r>
      <w:r w:rsidR="00002559">
        <w:rPr>
          <w:rFonts w:ascii="Century Gothic" w:hAnsi="Century Gothic"/>
        </w:rPr>
        <w:t>limit,</w:t>
      </w:r>
      <w:r w:rsidR="005D1A3E">
        <w:rPr>
          <w:rFonts w:ascii="Century Gothic" w:hAnsi="Century Gothic"/>
        </w:rPr>
        <w:t xml:space="preserve"> and the Municipality can decide on specifics.</w:t>
      </w:r>
    </w:p>
    <w:p w14:paraId="75E401D9" w14:textId="5587F8AB" w:rsidR="0090434D" w:rsidRPr="00CB7222" w:rsidRDefault="0090434D" w:rsidP="00871EE8">
      <w:pPr>
        <w:pStyle w:val="ListParagraph"/>
        <w:numPr>
          <w:ilvl w:val="0"/>
          <w:numId w:val="41"/>
        </w:numPr>
        <w:spacing w:beforeLines="60" w:before="144" w:afterLines="60" w:after="144" w:line="240" w:lineRule="auto"/>
        <w:ind w:hanging="361"/>
        <w:contextualSpacing w:val="0"/>
        <w:rPr>
          <w:rFonts w:ascii="Century Gothic" w:hAnsi="Century Gothic"/>
        </w:rPr>
      </w:pPr>
      <w:r w:rsidRPr="00CB7222">
        <w:rPr>
          <w:rFonts w:ascii="Century Gothic" w:hAnsi="Century Gothic"/>
        </w:rPr>
        <w:t>Revenue neutrality: The tariffs must be at least surplus (lost revenue – cost savings) neutral for the municipality</w:t>
      </w:r>
      <w:r w:rsidR="000D6D8D">
        <w:rPr>
          <w:rFonts w:ascii="Century Gothic" w:hAnsi="Century Gothic"/>
        </w:rPr>
        <w:t xml:space="preserve"> i.e., the municipality will not be losing any </w:t>
      </w:r>
      <w:r w:rsidR="001D0DEF">
        <w:rPr>
          <w:rFonts w:ascii="Century Gothic" w:hAnsi="Century Gothic"/>
        </w:rPr>
        <w:t>existing revenue by allowing wheeling</w:t>
      </w:r>
      <w:r w:rsidRPr="00CB7222">
        <w:rPr>
          <w:rFonts w:ascii="Century Gothic" w:hAnsi="Century Gothic"/>
        </w:rPr>
        <w:t xml:space="preserve">. Any additional charges for wheeling added by Eskom to the municipality’s account will be for the </w:t>
      </w:r>
      <w:r w:rsidR="00FB5506" w:rsidRPr="00CB7222">
        <w:rPr>
          <w:rFonts w:ascii="Century Gothic" w:hAnsi="Century Gothic"/>
        </w:rPr>
        <w:t>off-taker</w:t>
      </w:r>
      <w:r w:rsidRPr="00CB7222">
        <w:rPr>
          <w:rFonts w:ascii="Century Gothic" w:hAnsi="Century Gothic"/>
        </w:rPr>
        <w:t>’s account.</w:t>
      </w:r>
    </w:p>
    <w:p w14:paraId="775E715D" w14:textId="3047AE03" w:rsidR="0090434D" w:rsidRPr="0091622F" w:rsidRDefault="0090434D" w:rsidP="0091622F">
      <w:pPr>
        <w:pStyle w:val="ListParagraph"/>
        <w:numPr>
          <w:ilvl w:val="0"/>
          <w:numId w:val="41"/>
        </w:numPr>
        <w:spacing w:beforeLines="60" w:before="144" w:afterLines="60" w:after="144" w:line="240" w:lineRule="auto"/>
        <w:ind w:hanging="361"/>
        <w:contextualSpacing w:val="0"/>
        <w:rPr>
          <w:rFonts w:ascii="Century Gothic" w:hAnsi="Century Gothic"/>
        </w:rPr>
      </w:pPr>
      <w:r w:rsidRPr="00CB7222">
        <w:rPr>
          <w:rFonts w:ascii="Century Gothic" w:hAnsi="Century Gothic"/>
        </w:rPr>
        <w:t xml:space="preserve">Billing reconciliation period: The billing will be reconciled on a monthly time-of-use basis. No banking will be allowed. This means that any kWh wheeled which exceed the power </w:t>
      </w:r>
      <w:r w:rsidRPr="00CB7222">
        <w:rPr>
          <w:rFonts w:ascii="Century Gothic" w:hAnsi="Century Gothic"/>
        </w:rPr>
        <w:lastRenderedPageBreak/>
        <w:t xml:space="preserve">consumed by the </w:t>
      </w:r>
      <w:r w:rsidR="007E03E0" w:rsidRPr="00CB7222">
        <w:rPr>
          <w:rFonts w:ascii="Century Gothic" w:hAnsi="Century Gothic"/>
        </w:rPr>
        <w:t>off-taker</w:t>
      </w:r>
      <w:r w:rsidRPr="00CB7222">
        <w:rPr>
          <w:rFonts w:ascii="Century Gothic" w:hAnsi="Century Gothic"/>
        </w:rPr>
        <w:t xml:space="preserve"> in any monthly time-of-use period will be considered over wheeling</w:t>
      </w:r>
      <w:r w:rsidR="0091622F" w:rsidRPr="00CB7222">
        <w:rPr>
          <w:rFonts w:ascii="Century Gothic" w:hAnsi="Century Gothic"/>
        </w:rPr>
        <w:t>.</w:t>
      </w:r>
      <w:r w:rsidR="0091622F">
        <w:rPr>
          <w:rFonts w:ascii="Century Gothic" w:hAnsi="Century Gothic"/>
        </w:rPr>
        <w:t xml:space="preserve"> This is not a hard </w:t>
      </w:r>
      <w:r w:rsidR="00025504">
        <w:rPr>
          <w:rFonts w:ascii="Century Gothic" w:hAnsi="Century Gothic"/>
        </w:rPr>
        <w:t>limit,</w:t>
      </w:r>
      <w:r w:rsidR="0091622F">
        <w:rPr>
          <w:rFonts w:ascii="Century Gothic" w:hAnsi="Century Gothic"/>
        </w:rPr>
        <w:t xml:space="preserve"> and the Municipality can decide on specifics.</w:t>
      </w:r>
    </w:p>
    <w:p w14:paraId="64884721" w14:textId="463D9B94" w:rsidR="0090434D" w:rsidRPr="00CB7222" w:rsidRDefault="0090434D" w:rsidP="00CB7222">
      <w:pPr>
        <w:pBdr>
          <w:top w:val="nil"/>
          <w:left w:val="nil"/>
          <w:bottom w:val="nil"/>
          <w:right w:val="nil"/>
          <w:between w:val="nil"/>
        </w:pBdr>
        <w:spacing w:beforeLines="60" w:before="144" w:afterLines="60" w:after="144" w:line="240" w:lineRule="auto"/>
        <w:rPr>
          <w:rFonts w:ascii="Century Gothic" w:hAnsi="Century Gothic"/>
        </w:rPr>
      </w:pPr>
      <w:r w:rsidRPr="00CB7222">
        <w:rPr>
          <w:rFonts w:ascii="Century Gothic" w:hAnsi="Century Gothic"/>
        </w:rPr>
        <w:t xml:space="preserve">The conditions applicable if the generator is connected to the Municipal Grid. </w:t>
      </w:r>
    </w:p>
    <w:p w14:paraId="19B44EBE" w14:textId="4A9D76E7" w:rsidR="0090434D" w:rsidRPr="00682360" w:rsidRDefault="0090434D" w:rsidP="00871EE8">
      <w:pPr>
        <w:pStyle w:val="ListParagraph"/>
        <w:numPr>
          <w:ilvl w:val="0"/>
          <w:numId w:val="41"/>
        </w:numPr>
        <w:spacing w:beforeLines="60" w:before="144" w:afterLines="60" w:after="144" w:line="240" w:lineRule="auto"/>
        <w:ind w:hanging="361"/>
        <w:contextualSpacing w:val="0"/>
        <w:rPr>
          <w:rFonts w:ascii="Century Gothic" w:hAnsi="Century Gothic"/>
          <w:bCs/>
        </w:rPr>
      </w:pPr>
      <w:r w:rsidRPr="00CB7222">
        <w:rPr>
          <w:rFonts w:ascii="Century Gothic" w:hAnsi="Century Gothic"/>
        </w:rPr>
        <w:t>Generator tariff: The generator must be on the applicable time</w:t>
      </w:r>
      <w:r w:rsidR="007471BA">
        <w:rPr>
          <w:rFonts w:ascii="Century Gothic" w:hAnsi="Century Gothic"/>
        </w:rPr>
        <w:t>-</w:t>
      </w:r>
      <w:r w:rsidRPr="00CB7222">
        <w:rPr>
          <w:rFonts w:ascii="Century Gothic" w:hAnsi="Century Gothic"/>
        </w:rPr>
        <w:t>of</w:t>
      </w:r>
      <w:r w:rsidR="007471BA">
        <w:rPr>
          <w:rFonts w:ascii="Century Gothic" w:hAnsi="Century Gothic"/>
        </w:rPr>
        <w:t>-</w:t>
      </w:r>
      <w:r w:rsidRPr="00CB7222">
        <w:rPr>
          <w:rFonts w:ascii="Century Gothic" w:hAnsi="Century Gothic"/>
        </w:rPr>
        <w:t>use tariff for consumption. Access and Demand charges will apply in respect</w:t>
      </w:r>
      <w:r w:rsidRPr="00682360">
        <w:rPr>
          <w:rFonts w:ascii="Century Gothic" w:hAnsi="Century Gothic"/>
          <w:bCs/>
        </w:rPr>
        <w:t xml:space="preserve"> of own demand and in cases where network demand will be increased, based on wheeling kVA. </w:t>
      </w:r>
    </w:p>
    <w:p w14:paraId="353D844C" w14:textId="2F11963F" w:rsidR="0090434D" w:rsidRPr="00682360" w:rsidRDefault="0090434D" w:rsidP="00871EE8">
      <w:pPr>
        <w:pStyle w:val="ListParagraph"/>
        <w:numPr>
          <w:ilvl w:val="0"/>
          <w:numId w:val="41"/>
        </w:numPr>
        <w:spacing w:beforeLines="60" w:before="144" w:afterLines="60" w:after="144" w:line="240" w:lineRule="auto"/>
        <w:ind w:hanging="361"/>
        <w:contextualSpacing w:val="0"/>
        <w:rPr>
          <w:rFonts w:ascii="Century Gothic" w:hAnsi="Century Gothic"/>
          <w:bCs/>
        </w:rPr>
      </w:pPr>
      <w:r w:rsidRPr="00682360">
        <w:rPr>
          <w:rFonts w:ascii="Century Gothic" w:hAnsi="Century Gothic"/>
          <w:bCs/>
        </w:rPr>
        <w:t xml:space="preserve">Generator connection agreements: The generator must adhere to the generation connection requirements </w:t>
      </w:r>
      <w:r w:rsidR="00AC07F8" w:rsidRPr="00682360">
        <w:rPr>
          <w:rFonts w:ascii="Century Gothic" w:hAnsi="Century Gothic"/>
          <w:bCs/>
        </w:rPr>
        <w:t>or Codes</w:t>
      </w:r>
      <w:r w:rsidRPr="00682360">
        <w:rPr>
          <w:rFonts w:ascii="Century Gothic" w:hAnsi="Century Gothic"/>
          <w:bCs/>
        </w:rPr>
        <w:t xml:space="preserve"> for the connection of the generation facility</w:t>
      </w:r>
      <w:r w:rsidR="000D3865" w:rsidRPr="00682360">
        <w:rPr>
          <w:rFonts w:ascii="Century Gothic" w:hAnsi="Century Gothic"/>
          <w:bCs/>
        </w:rPr>
        <w:t xml:space="preserve"> to the grid</w:t>
      </w:r>
      <w:r w:rsidRPr="00682360">
        <w:rPr>
          <w:rFonts w:ascii="Century Gothic" w:hAnsi="Century Gothic"/>
          <w:bCs/>
        </w:rPr>
        <w:t>.</w:t>
      </w:r>
    </w:p>
    <w:p w14:paraId="26558948" w14:textId="53D0E846" w:rsidR="0090434D" w:rsidRPr="00682360" w:rsidRDefault="0090434D" w:rsidP="00871EE8">
      <w:pPr>
        <w:pStyle w:val="ListParagraph"/>
        <w:numPr>
          <w:ilvl w:val="0"/>
          <w:numId w:val="41"/>
        </w:numPr>
        <w:spacing w:beforeLines="60" w:before="144" w:afterLines="60" w:after="144" w:line="240" w:lineRule="auto"/>
        <w:ind w:hanging="361"/>
        <w:contextualSpacing w:val="0"/>
        <w:rPr>
          <w:rFonts w:ascii="Century Gothic" w:hAnsi="Century Gothic"/>
          <w:bCs/>
        </w:rPr>
      </w:pPr>
      <w:r w:rsidRPr="00682360">
        <w:rPr>
          <w:rFonts w:ascii="Century Gothic" w:hAnsi="Century Gothic"/>
          <w:bCs/>
        </w:rPr>
        <w:t>Generator connection Voltage: Generators must connect at 11kV or higher to the Municipal Grid.</w:t>
      </w:r>
      <w:r w:rsidR="006C1B00" w:rsidRPr="00682360">
        <w:rPr>
          <w:rFonts w:ascii="Century Gothic" w:hAnsi="Century Gothic"/>
          <w:bCs/>
        </w:rPr>
        <w:t xml:space="preserve"> Th</w:t>
      </w:r>
      <w:r w:rsidR="003D11E8" w:rsidRPr="00682360">
        <w:rPr>
          <w:rFonts w:ascii="Century Gothic" w:hAnsi="Century Gothic"/>
          <w:bCs/>
        </w:rPr>
        <w:t xml:space="preserve">e </w:t>
      </w:r>
      <w:r w:rsidR="00A86A2D" w:rsidRPr="00682360">
        <w:rPr>
          <w:rFonts w:ascii="Century Gothic" w:hAnsi="Century Gothic"/>
          <w:bCs/>
        </w:rPr>
        <w:t xml:space="preserve">required </w:t>
      </w:r>
      <w:r w:rsidR="003D11E8" w:rsidRPr="00682360">
        <w:rPr>
          <w:rFonts w:ascii="Century Gothic" w:hAnsi="Century Gothic"/>
          <w:bCs/>
        </w:rPr>
        <w:t>connection size</w:t>
      </w:r>
      <w:r w:rsidR="008864C1" w:rsidRPr="00682360">
        <w:rPr>
          <w:rFonts w:ascii="Century Gothic" w:hAnsi="Century Gothic"/>
          <w:bCs/>
        </w:rPr>
        <w:t>/tariff</w:t>
      </w:r>
      <w:r w:rsidR="003D11E8" w:rsidRPr="00682360">
        <w:rPr>
          <w:rFonts w:ascii="Century Gothic" w:hAnsi="Century Gothic"/>
          <w:bCs/>
        </w:rPr>
        <w:t xml:space="preserve"> </w:t>
      </w:r>
      <w:r w:rsidR="006C1B00" w:rsidRPr="00682360">
        <w:rPr>
          <w:rFonts w:ascii="Century Gothic" w:hAnsi="Century Gothic"/>
          <w:bCs/>
        </w:rPr>
        <w:t>may be municipality specifi</w:t>
      </w:r>
      <w:r w:rsidR="003D11E8" w:rsidRPr="00682360">
        <w:rPr>
          <w:rFonts w:ascii="Century Gothic" w:hAnsi="Century Gothic"/>
          <w:bCs/>
        </w:rPr>
        <w:t xml:space="preserve">c depending on their defined </w:t>
      </w:r>
      <w:r w:rsidR="00E0453C" w:rsidRPr="00682360">
        <w:rPr>
          <w:rFonts w:ascii="Century Gothic" w:hAnsi="Century Gothic"/>
          <w:bCs/>
        </w:rPr>
        <w:t>rules and</w:t>
      </w:r>
      <w:r w:rsidR="00AA584F" w:rsidRPr="00682360">
        <w:rPr>
          <w:rFonts w:ascii="Century Gothic" w:hAnsi="Century Gothic"/>
          <w:bCs/>
        </w:rPr>
        <w:t xml:space="preserve"> should match the Point of Utility Connection (PUC).</w:t>
      </w:r>
      <w:r w:rsidR="00F1310A">
        <w:rPr>
          <w:rFonts w:ascii="Century Gothic" w:hAnsi="Century Gothic"/>
          <w:bCs/>
        </w:rPr>
        <w:t xml:space="preserve"> </w:t>
      </w:r>
      <w:r w:rsidR="00F1310A">
        <w:rPr>
          <w:rFonts w:ascii="Century Gothic" w:hAnsi="Century Gothic"/>
        </w:rPr>
        <w:t>This is not a hard limit, and the Municipality can decide on specifics.</w:t>
      </w:r>
    </w:p>
    <w:p w14:paraId="7D8F4E3C" w14:textId="13CE588A" w:rsidR="0090434D" w:rsidRPr="00682360" w:rsidRDefault="0090434D" w:rsidP="00871EE8">
      <w:pPr>
        <w:pStyle w:val="ListParagraph"/>
        <w:numPr>
          <w:ilvl w:val="0"/>
          <w:numId w:val="41"/>
        </w:numPr>
        <w:spacing w:beforeLines="60" w:before="144" w:afterLines="60" w:after="144" w:line="240" w:lineRule="auto"/>
        <w:ind w:hanging="361"/>
        <w:contextualSpacing w:val="0"/>
        <w:rPr>
          <w:rFonts w:ascii="Century Gothic" w:hAnsi="Century Gothic"/>
          <w:bCs/>
        </w:rPr>
      </w:pPr>
      <w:r w:rsidRPr="00682360">
        <w:rPr>
          <w:rFonts w:ascii="Century Gothic" w:hAnsi="Century Gothic"/>
          <w:bCs/>
        </w:rPr>
        <w:t xml:space="preserve">All embedded generation installations are fully compliant with the relevant regulations, standards, and specifications for the installation to be approved. Below is a (non-exhaustive) list of the most relevant regulations, </w:t>
      </w:r>
      <w:r w:rsidR="00E0453C" w:rsidRPr="00682360">
        <w:rPr>
          <w:rFonts w:ascii="Century Gothic" w:hAnsi="Century Gothic"/>
          <w:bCs/>
        </w:rPr>
        <w:t>standards,</w:t>
      </w:r>
      <w:r w:rsidRPr="00682360">
        <w:rPr>
          <w:rFonts w:ascii="Century Gothic" w:hAnsi="Century Gothic"/>
          <w:bCs/>
        </w:rPr>
        <w:t xml:space="preserve"> and specifications:  </w:t>
      </w:r>
    </w:p>
    <w:p w14:paraId="7DB93FB1" w14:textId="77777777" w:rsidR="0090434D" w:rsidRPr="00682360" w:rsidRDefault="0090434D" w:rsidP="00871EE8">
      <w:pPr>
        <w:pStyle w:val="BodyText"/>
        <w:numPr>
          <w:ilvl w:val="0"/>
          <w:numId w:val="42"/>
        </w:numPr>
        <w:spacing w:beforeLines="60" w:before="144" w:afterLines="60" w:after="144" w:line="240" w:lineRule="auto"/>
        <w:rPr>
          <w:rFonts w:ascii="Century Gothic" w:hAnsi="Century Gothic" w:cs="Arial"/>
        </w:rPr>
      </w:pPr>
      <w:r w:rsidRPr="00682360">
        <w:rPr>
          <w:rFonts w:ascii="Century Gothic" w:hAnsi="Century Gothic" w:cs="Arial"/>
        </w:rPr>
        <w:t xml:space="preserve">Electricity Regulation Act 4 of 2006 and Electricity Regulation Amendment Act 28 of 2007 </w:t>
      </w:r>
    </w:p>
    <w:p w14:paraId="46CD58B8" w14:textId="77777777" w:rsidR="0090434D" w:rsidRPr="00682360" w:rsidRDefault="0090434D" w:rsidP="00871EE8">
      <w:pPr>
        <w:pStyle w:val="BodyText"/>
        <w:numPr>
          <w:ilvl w:val="0"/>
          <w:numId w:val="42"/>
        </w:numPr>
        <w:spacing w:beforeLines="60" w:before="144" w:afterLines="60" w:after="144" w:line="240" w:lineRule="auto"/>
        <w:rPr>
          <w:rFonts w:ascii="Century Gothic" w:hAnsi="Century Gothic" w:cs="Arial"/>
        </w:rPr>
      </w:pPr>
      <w:r w:rsidRPr="00682360">
        <w:rPr>
          <w:rFonts w:ascii="Century Gothic" w:hAnsi="Century Gothic" w:cs="Arial"/>
        </w:rPr>
        <w:t xml:space="preserve">South African Grid Codes (Distribution, Transmission and Renewable Power Plants) </w:t>
      </w:r>
    </w:p>
    <w:p w14:paraId="4ED16894" w14:textId="77777777" w:rsidR="0090434D" w:rsidRPr="00682360" w:rsidRDefault="0090434D" w:rsidP="00871EE8">
      <w:pPr>
        <w:pStyle w:val="BodyText"/>
        <w:numPr>
          <w:ilvl w:val="0"/>
          <w:numId w:val="42"/>
        </w:numPr>
        <w:spacing w:beforeLines="60" w:before="144" w:afterLines="60" w:after="144" w:line="240" w:lineRule="auto"/>
        <w:rPr>
          <w:rFonts w:ascii="Century Gothic" w:hAnsi="Century Gothic" w:cs="Arial"/>
        </w:rPr>
      </w:pPr>
      <w:r w:rsidRPr="00682360">
        <w:rPr>
          <w:rFonts w:ascii="Century Gothic" w:hAnsi="Century Gothic" w:cs="Arial"/>
        </w:rPr>
        <w:t xml:space="preserve">Occupational Health and Safety Act 85 of 1993 </w:t>
      </w:r>
    </w:p>
    <w:p w14:paraId="52A5D885" w14:textId="77777777" w:rsidR="0090434D" w:rsidRPr="00682360" w:rsidRDefault="0090434D" w:rsidP="00871EE8">
      <w:pPr>
        <w:pStyle w:val="BodyText"/>
        <w:numPr>
          <w:ilvl w:val="0"/>
          <w:numId w:val="42"/>
        </w:numPr>
        <w:spacing w:beforeLines="60" w:before="144" w:afterLines="60" w:after="144" w:line="240" w:lineRule="auto"/>
        <w:rPr>
          <w:rFonts w:ascii="Century Gothic" w:hAnsi="Century Gothic" w:cs="Arial"/>
        </w:rPr>
      </w:pPr>
      <w:r w:rsidRPr="00682360">
        <w:rPr>
          <w:rFonts w:ascii="Century Gothic" w:hAnsi="Century Gothic" w:cs="Arial"/>
        </w:rPr>
        <w:t xml:space="preserve">Municipal Electricity Supply By-law </w:t>
      </w:r>
    </w:p>
    <w:p w14:paraId="3F704F97" w14:textId="77777777" w:rsidR="0090434D" w:rsidRPr="00682360" w:rsidRDefault="0090434D" w:rsidP="00871EE8">
      <w:pPr>
        <w:pStyle w:val="BodyText"/>
        <w:numPr>
          <w:ilvl w:val="0"/>
          <w:numId w:val="42"/>
        </w:numPr>
        <w:spacing w:beforeLines="60" w:before="144" w:afterLines="60" w:after="144" w:line="240" w:lineRule="auto"/>
        <w:rPr>
          <w:rFonts w:ascii="Century Gothic" w:hAnsi="Century Gothic" w:cs="Arial"/>
        </w:rPr>
      </w:pPr>
      <w:r w:rsidRPr="00682360">
        <w:rPr>
          <w:rFonts w:ascii="Century Gothic" w:hAnsi="Century Gothic" w:cs="Arial"/>
        </w:rPr>
        <w:t xml:space="preserve">SANS 10142: All Parts </w:t>
      </w:r>
    </w:p>
    <w:p w14:paraId="52AA3590" w14:textId="77777777" w:rsidR="0090434D" w:rsidRPr="00682360" w:rsidRDefault="0090434D" w:rsidP="00871EE8">
      <w:pPr>
        <w:pStyle w:val="BodyText"/>
        <w:numPr>
          <w:ilvl w:val="0"/>
          <w:numId w:val="42"/>
        </w:numPr>
        <w:spacing w:beforeLines="60" w:before="144" w:afterLines="60" w:after="144" w:line="240" w:lineRule="auto"/>
        <w:rPr>
          <w:rFonts w:ascii="Century Gothic" w:hAnsi="Century Gothic" w:cs="Arial"/>
        </w:rPr>
      </w:pPr>
      <w:r w:rsidRPr="00682360">
        <w:rPr>
          <w:rFonts w:ascii="Century Gothic" w:hAnsi="Century Gothic" w:cs="Arial"/>
        </w:rPr>
        <w:t xml:space="preserve">SANS 474/NRS 057: Code of practice for electricity metering </w:t>
      </w:r>
    </w:p>
    <w:p w14:paraId="2DDE4627" w14:textId="0D1F5F97" w:rsidR="0090434D" w:rsidRPr="00682360" w:rsidRDefault="0090434D" w:rsidP="00871EE8">
      <w:pPr>
        <w:pStyle w:val="BodyText"/>
        <w:numPr>
          <w:ilvl w:val="0"/>
          <w:numId w:val="42"/>
        </w:numPr>
        <w:spacing w:beforeLines="60" w:before="144" w:afterLines="60" w:after="144" w:line="240" w:lineRule="auto"/>
        <w:rPr>
          <w:rFonts w:ascii="Century Gothic" w:hAnsi="Century Gothic" w:cs="Arial"/>
        </w:rPr>
      </w:pPr>
      <w:r w:rsidRPr="00682360">
        <w:rPr>
          <w:rFonts w:ascii="Century Gothic" w:hAnsi="Century Gothic" w:cs="Arial"/>
        </w:rPr>
        <w:t xml:space="preserve">NRS 097 Series </w:t>
      </w:r>
    </w:p>
    <w:p w14:paraId="0A075159" w14:textId="1850B592" w:rsidR="00A947B1" w:rsidRPr="00046A47" w:rsidRDefault="0090434D" w:rsidP="00CB7222">
      <w:pPr>
        <w:pStyle w:val="BodyText"/>
        <w:spacing w:beforeLines="60" w:before="144" w:afterLines="60" w:after="144" w:line="240" w:lineRule="auto"/>
        <w:rPr>
          <w:rFonts w:ascii="Century Gothic" w:hAnsi="Century Gothic"/>
          <w:lang w:eastAsia="en-ZA"/>
        </w:rPr>
      </w:pPr>
      <w:r w:rsidRPr="002B7781">
        <w:rPr>
          <w:rFonts w:ascii="Century Gothic" w:hAnsi="Century Gothic"/>
          <w:lang w:eastAsia="en-ZA"/>
        </w:rPr>
        <w:t xml:space="preserve">The technical standards above are explained </w:t>
      </w:r>
      <w:r w:rsidR="007C0C8A">
        <w:rPr>
          <w:rFonts w:ascii="Century Gothic" w:hAnsi="Century Gothic"/>
          <w:lang w:eastAsia="en-ZA"/>
        </w:rPr>
        <w:t>in detail</w:t>
      </w:r>
      <w:r>
        <w:rPr>
          <w:rFonts w:ascii="Century Gothic" w:hAnsi="Century Gothic"/>
          <w:lang w:eastAsia="en-ZA"/>
        </w:rPr>
        <w:t xml:space="preserve"> in </w:t>
      </w:r>
      <w:r w:rsidR="007C0C8A" w:rsidRPr="00AC07F8">
        <w:rPr>
          <w:rFonts w:ascii="Century Gothic" w:hAnsi="Century Gothic"/>
          <w:b/>
          <w:bCs/>
          <w:lang w:eastAsia="en-ZA"/>
        </w:rPr>
        <w:t>Annexure A.</w:t>
      </w:r>
    </w:p>
    <w:p w14:paraId="3572BDE1" w14:textId="77777777" w:rsidR="00EC58DD" w:rsidRDefault="00EC58DD" w:rsidP="00EC58DD">
      <w:pPr>
        <w:pStyle w:val="Heading1"/>
      </w:pPr>
      <w:bookmarkStart w:id="18" w:name="_1ksv4uv" w:colFirst="0" w:colLast="0"/>
      <w:bookmarkStart w:id="19" w:name="_wcnle3bj1x17" w:colFirst="0" w:colLast="0"/>
      <w:bookmarkStart w:id="20" w:name="_44sinio" w:colFirst="0" w:colLast="0"/>
      <w:bookmarkStart w:id="21" w:name="_Toc134598050"/>
      <w:bookmarkStart w:id="22" w:name="_Toc145484195"/>
      <w:bookmarkEnd w:id="15"/>
      <w:bookmarkEnd w:id="18"/>
      <w:bookmarkEnd w:id="19"/>
      <w:bookmarkEnd w:id="20"/>
      <w:r>
        <w:t>Contractual Arrangements</w:t>
      </w:r>
      <w:bookmarkEnd w:id="22"/>
    </w:p>
    <w:p w14:paraId="29BDB76F" w14:textId="77777777" w:rsidR="00400A12" w:rsidRPr="00CB7974" w:rsidRDefault="00400A12" w:rsidP="00E441B0">
      <w:pPr>
        <w:shd w:val="clear" w:color="auto" w:fill="F2F2F2" w:themeFill="background1" w:themeFillShade="F2"/>
        <w:spacing w:before="120" w:line="240" w:lineRule="auto"/>
        <w:rPr>
          <w:rFonts w:ascii="Century Gothic" w:hAnsi="Century Gothic"/>
          <w:b/>
          <w:bCs/>
          <w:i/>
          <w:iCs/>
          <w:u w:val="single"/>
        </w:rPr>
      </w:pPr>
      <w:r w:rsidRPr="00493EF2">
        <w:rPr>
          <w:rFonts w:ascii="Segoe UI Emoji" w:hAnsi="Segoe UI Emoji" w:cs="Segoe UI Emoji"/>
        </w:rPr>
        <w:t>🔍</w:t>
      </w:r>
      <w:r w:rsidRPr="006D455C">
        <w:rPr>
          <w:rFonts w:ascii="Century Gothic" w:hAnsi="Century Gothic"/>
          <w:b/>
          <w:bCs/>
          <w:u w:val="single"/>
        </w:rPr>
        <w:t xml:space="preserve"> </w:t>
      </w:r>
      <w:r w:rsidRPr="00CB7974">
        <w:rPr>
          <w:rFonts w:ascii="Century Gothic" w:hAnsi="Century Gothic"/>
          <w:b/>
          <w:bCs/>
          <w:i/>
          <w:iCs/>
          <w:u w:val="single"/>
        </w:rPr>
        <w:t xml:space="preserve">Explanatory notes: </w:t>
      </w:r>
    </w:p>
    <w:p w14:paraId="772DD736" w14:textId="0C9D2FD1" w:rsidR="00A83605" w:rsidRPr="00CB7974" w:rsidRDefault="00A83605" w:rsidP="00E441B0">
      <w:pPr>
        <w:shd w:val="clear" w:color="auto" w:fill="F2F2F2" w:themeFill="background1" w:themeFillShade="F2"/>
        <w:spacing w:before="120" w:line="240" w:lineRule="auto"/>
        <w:rPr>
          <w:rFonts w:ascii="Century Gothic" w:hAnsi="Century Gothic"/>
          <w:i/>
          <w:iCs/>
        </w:rPr>
      </w:pPr>
      <w:r w:rsidRPr="00CB7974">
        <w:rPr>
          <w:rFonts w:ascii="Century Gothic" w:hAnsi="Century Gothic"/>
          <w:i/>
          <w:iCs/>
        </w:rPr>
        <w:t xml:space="preserve">The section on contractual arrangements provides guidance on the necessary agreements and contracts involved in the third-party wheeling process. </w:t>
      </w:r>
      <w:r w:rsidR="00A56758">
        <w:rPr>
          <w:rFonts w:ascii="Century Gothic" w:hAnsi="Century Gothic"/>
          <w:i/>
          <w:iCs/>
        </w:rPr>
        <w:t xml:space="preserve">The Municipality </w:t>
      </w:r>
      <w:r w:rsidRPr="00CB7974">
        <w:rPr>
          <w:rFonts w:ascii="Century Gothic" w:hAnsi="Century Gothic"/>
          <w:i/>
          <w:iCs/>
        </w:rPr>
        <w:t xml:space="preserve">have a key role in managing these contractual arrangements and ensuring their effectiveness. Some key actions that </w:t>
      </w:r>
      <w:r w:rsidR="00A56758">
        <w:rPr>
          <w:rFonts w:ascii="Century Gothic" w:hAnsi="Century Gothic"/>
          <w:i/>
          <w:iCs/>
        </w:rPr>
        <w:t xml:space="preserve">The Municipality </w:t>
      </w:r>
      <w:r w:rsidRPr="00CB7974">
        <w:rPr>
          <w:rFonts w:ascii="Century Gothic" w:hAnsi="Century Gothic"/>
          <w:i/>
          <w:iCs/>
        </w:rPr>
        <w:t>need to undertake include:</w:t>
      </w:r>
    </w:p>
    <w:p w14:paraId="64E4AC09" w14:textId="185673FE" w:rsidR="00A83605" w:rsidRPr="00CB7974" w:rsidRDefault="00A83605" w:rsidP="00871EE8">
      <w:pPr>
        <w:pStyle w:val="ListParagraph"/>
        <w:numPr>
          <w:ilvl w:val="0"/>
          <w:numId w:val="25"/>
        </w:numPr>
        <w:shd w:val="clear" w:color="auto" w:fill="F2F2F2" w:themeFill="background1" w:themeFillShade="F2"/>
        <w:spacing w:before="120" w:line="240" w:lineRule="auto"/>
        <w:ind w:left="360"/>
        <w:contextualSpacing w:val="0"/>
        <w:rPr>
          <w:rFonts w:ascii="Century Gothic" w:hAnsi="Century Gothic"/>
          <w:i/>
          <w:iCs/>
        </w:rPr>
      </w:pPr>
      <w:r w:rsidRPr="00CB7974">
        <w:rPr>
          <w:rFonts w:ascii="Century Gothic" w:hAnsi="Century Gothic"/>
          <w:b/>
          <w:bCs/>
          <w:i/>
          <w:iCs/>
        </w:rPr>
        <w:t>Identify Contractual Arrangements:</w:t>
      </w:r>
      <w:r w:rsidRPr="00CB7974">
        <w:rPr>
          <w:rFonts w:ascii="Century Gothic" w:hAnsi="Century Gothic"/>
          <w:i/>
          <w:iCs/>
        </w:rPr>
        <w:t xml:space="preserve"> </w:t>
      </w:r>
      <w:r w:rsidR="00A56758">
        <w:rPr>
          <w:rFonts w:ascii="Century Gothic" w:hAnsi="Century Gothic"/>
          <w:i/>
          <w:iCs/>
        </w:rPr>
        <w:t xml:space="preserve">The Municipality </w:t>
      </w:r>
      <w:r w:rsidRPr="00CB7974">
        <w:rPr>
          <w:rFonts w:ascii="Century Gothic" w:hAnsi="Century Gothic"/>
          <w:i/>
          <w:iCs/>
        </w:rPr>
        <w:t xml:space="preserve">should identify the specific contractual arrangements required for the third-party wheeling process. This includes agreements between the Municipality, the generator, the </w:t>
      </w:r>
      <w:r w:rsidR="00D2708B">
        <w:rPr>
          <w:rFonts w:ascii="Century Gothic" w:hAnsi="Century Gothic"/>
          <w:i/>
          <w:iCs/>
        </w:rPr>
        <w:t>off taker</w:t>
      </w:r>
      <w:r w:rsidRPr="00CB7974">
        <w:rPr>
          <w:rFonts w:ascii="Century Gothic" w:hAnsi="Century Gothic"/>
          <w:i/>
          <w:iCs/>
        </w:rPr>
        <w:t>/customer, and any intermediaries or aggregators</w:t>
      </w:r>
      <w:r w:rsidR="00A152AD">
        <w:rPr>
          <w:rFonts w:ascii="Century Gothic" w:hAnsi="Century Gothic"/>
          <w:i/>
          <w:iCs/>
        </w:rPr>
        <w:t>/traders</w:t>
      </w:r>
      <w:r w:rsidRPr="00CB7974">
        <w:rPr>
          <w:rFonts w:ascii="Century Gothic" w:hAnsi="Century Gothic"/>
          <w:i/>
          <w:iCs/>
        </w:rPr>
        <w:t xml:space="preserve"> involved. Identifying the necessary contracts is essential for establishing clear rights, responsibilities, and obligations for all parties involved.</w:t>
      </w:r>
    </w:p>
    <w:p w14:paraId="24E0BC73" w14:textId="096AC3DD" w:rsidR="00ED5A06" w:rsidRPr="007A1BE5" w:rsidRDefault="00A83605" w:rsidP="007A1BE5">
      <w:pPr>
        <w:pStyle w:val="ListParagraph"/>
        <w:numPr>
          <w:ilvl w:val="0"/>
          <w:numId w:val="25"/>
        </w:numPr>
        <w:shd w:val="clear" w:color="auto" w:fill="F2F2F2" w:themeFill="background1" w:themeFillShade="F2"/>
        <w:spacing w:before="120" w:line="240" w:lineRule="auto"/>
        <w:ind w:left="360"/>
        <w:contextualSpacing w:val="0"/>
        <w:rPr>
          <w:rFonts w:ascii="Century Gothic" w:hAnsi="Century Gothic"/>
          <w:i/>
          <w:iCs/>
        </w:rPr>
      </w:pPr>
      <w:r w:rsidRPr="00CB7974">
        <w:rPr>
          <w:rFonts w:ascii="Century Gothic" w:hAnsi="Century Gothic"/>
          <w:b/>
          <w:bCs/>
          <w:i/>
          <w:iCs/>
        </w:rPr>
        <w:t>Use Contract Templates:</w:t>
      </w:r>
      <w:r w:rsidRPr="00CB7974">
        <w:rPr>
          <w:rFonts w:ascii="Century Gothic" w:hAnsi="Century Gothic"/>
          <w:i/>
          <w:iCs/>
        </w:rPr>
        <w:t xml:space="preserve"> </w:t>
      </w:r>
      <w:r w:rsidR="00A56758">
        <w:rPr>
          <w:rFonts w:ascii="Century Gothic" w:hAnsi="Century Gothic"/>
          <w:i/>
          <w:iCs/>
        </w:rPr>
        <w:t xml:space="preserve">The Municipality </w:t>
      </w:r>
      <w:r w:rsidRPr="00CB7974">
        <w:rPr>
          <w:rFonts w:ascii="Century Gothic" w:hAnsi="Century Gothic"/>
          <w:i/>
          <w:iCs/>
        </w:rPr>
        <w:t xml:space="preserve">can utilize existing contract templates available for third-party wheeling as a starting point. These templates provide a structured framework that can be tailored to suit the specific needs and requirements of the municipality. By using standardized templates, </w:t>
      </w:r>
      <w:r w:rsidR="00A56758">
        <w:rPr>
          <w:rFonts w:ascii="Century Gothic" w:hAnsi="Century Gothic"/>
          <w:i/>
          <w:iCs/>
        </w:rPr>
        <w:t xml:space="preserve">The Municipality </w:t>
      </w:r>
      <w:r w:rsidRPr="00CB7974">
        <w:rPr>
          <w:rFonts w:ascii="Century Gothic" w:hAnsi="Century Gothic"/>
          <w:i/>
          <w:iCs/>
        </w:rPr>
        <w:t>can ensure consistency and efficiency in the contracting process.</w:t>
      </w:r>
      <w:r w:rsidR="0065360A" w:rsidRPr="00CB7974">
        <w:rPr>
          <w:rFonts w:ascii="Century Gothic" w:hAnsi="Century Gothic"/>
          <w:i/>
          <w:iCs/>
        </w:rPr>
        <w:t xml:space="preserve"> Below are links to standard </w:t>
      </w:r>
      <w:r w:rsidR="00E441B0" w:rsidRPr="00CB7974">
        <w:rPr>
          <w:rFonts w:ascii="Century Gothic" w:hAnsi="Century Gothic"/>
          <w:i/>
          <w:iCs/>
        </w:rPr>
        <w:t xml:space="preserve">contract templates </w:t>
      </w:r>
      <w:r w:rsidR="004852AF">
        <w:rPr>
          <w:rFonts w:ascii="Century Gothic" w:hAnsi="Century Gothic"/>
          <w:i/>
          <w:iCs/>
        </w:rPr>
        <w:t xml:space="preserve">and user guide </w:t>
      </w:r>
      <w:r w:rsidR="00E441B0" w:rsidRPr="00CB7974">
        <w:rPr>
          <w:rFonts w:ascii="Century Gothic" w:hAnsi="Century Gothic"/>
          <w:i/>
          <w:iCs/>
        </w:rPr>
        <w:t xml:space="preserve">which can be adapted by </w:t>
      </w:r>
      <w:r w:rsidR="00AD127E">
        <w:rPr>
          <w:rFonts w:ascii="Century Gothic" w:hAnsi="Century Gothic"/>
          <w:i/>
          <w:iCs/>
        </w:rPr>
        <w:t>The Municipality</w:t>
      </w:r>
      <w:r w:rsidR="007A1BE5">
        <w:rPr>
          <w:rFonts w:ascii="Century Gothic" w:hAnsi="Century Gothic"/>
          <w:i/>
          <w:iCs/>
        </w:rPr>
        <w:t xml:space="preserve">. </w:t>
      </w:r>
      <w:hyperlink r:id="rId31" w:history="1">
        <w:r w:rsidR="00ED5A06" w:rsidRPr="007A1BE5">
          <w:rPr>
            <w:rStyle w:val="Hyperlink"/>
            <w:rFonts w:ascii="Century Gothic" w:hAnsi="Century Gothic"/>
          </w:rPr>
          <w:t>Wheeling | 110% Green (westerncape.gov.za)</w:t>
        </w:r>
      </w:hyperlink>
    </w:p>
    <w:p w14:paraId="40A28E77" w14:textId="764F20B4" w:rsidR="00A83605" w:rsidRPr="00CB7974" w:rsidRDefault="00A83605" w:rsidP="00871EE8">
      <w:pPr>
        <w:pStyle w:val="ListParagraph"/>
        <w:numPr>
          <w:ilvl w:val="0"/>
          <w:numId w:val="25"/>
        </w:numPr>
        <w:shd w:val="clear" w:color="auto" w:fill="F2F2F2" w:themeFill="background1" w:themeFillShade="F2"/>
        <w:spacing w:before="120" w:line="240" w:lineRule="auto"/>
        <w:ind w:left="360"/>
        <w:contextualSpacing w:val="0"/>
        <w:rPr>
          <w:rFonts w:ascii="Century Gothic" w:hAnsi="Century Gothic"/>
          <w:i/>
          <w:iCs/>
        </w:rPr>
      </w:pPr>
      <w:r w:rsidRPr="00CB7974">
        <w:rPr>
          <w:rFonts w:ascii="Century Gothic" w:hAnsi="Century Gothic"/>
          <w:b/>
          <w:bCs/>
          <w:i/>
          <w:iCs/>
        </w:rPr>
        <w:t>Customize Contracts:</w:t>
      </w:r>
      <w:r w:rsidRPr="00CB7974">
        <w:rPr>
          <w:rFonts w:ascii="Century Gothic" w:hAnsi="Century Gothic"/>
          <w:i/>
          <w:iCs/>
        </w:rPr>
        <w:t xml:space="preserve"> </w:t>
      </w:r>
      <w:r w:rsidR="00A56758">
        <w:rPr>
          <w:rFonts w:ascii="Century Gothic" w:hAnsi="Century Gothic"/>
          <w:i/>
          <w:iCs/>
        </w:rPr>
        <w:t xml:space="preserve">The Municipality </w:t>
      </w:r>
      <w:r w:rsidRPr="00CB7974">
        <w:rPr>
          <w:rFonts w:ascii="Century Gothic" w:hAnsi="Century Gothic"/>
          <w:i/>
          <w:iCs/>
        </w:rPr>
        <w:t xml:space="preserve">should customize the contract templates to make them applicable to the municipality's specific circumstances. This includes incorporating relevant details, such as the municipality's name, specific tariff structures, billing </w:t>
      </w:r>
      <w:r w:rsidRPr="00CB7974">
        <w:rPr>
          <w:rFonts w:ascii="Century Gothic" w:hAnsi="Century Gothic"/>
          <w:i/>
          <w:iCs/>
        </w:rPr>
        <w:lastRenderedPageBreak/>
        <w:t>arrangements, and any additional provisions or requirements that align with the municipality's regulations and policies.</w:t>
      </w:r>
    </w:p>
    <w:p w14:paraId="3816B02B" w14:textId="12E9D5CD" w:rsidR="00A83605" w:rsidRPr="00CB7974" w:rsidRDefault="00A83605" w:rsidP="00871EE8">
      <w:pPr>
        <w:pStyle w:val="ListParagraph"/>
        <w:numPr>
          <w:ilvl w:val="0"/>
          <w:numId w:val="25"/>
        </w:numPr>
        <w:shd w:val="clear" w:color="auto" w:fill="F2F2F2" w:themeFill="background1" w:themeFillShade="F2"/>
        <w:spacing w:before="120" w:line="240" w:lineRule="auto"/>
        <w:ind w:left="360"/>
        <w:contextualSpacing w:val="0"/>
        <w:rPr>
          <w:rFonts w:ascii="Century Gothic" w:hAnsi="Century Gothic"/>
          <w:i/>
          <w:iCs/>
        </w:rPr>
      </w:pPr>
      <w:r w:rsidRPr="00CB7974">
        <w:rPr>
          <w:rFonts w:ascii="Century Gothic" w:hAnsi="Century Gothic"/>
          <w:b/>
          <w:bCs/>
          <w:i/>
          <w:iCs/>
        </w:rPr>
        <w:t>Internal Legal Review:</w:t>
      </w:r>
      <w:r w:rsidRPr="00CB7974">
        <w:rPr>
          <w:rFonts w:ascii="Century Gothic" w:hAnsi="Century Gothic"/>
          <w:i/>
          <w:iCs/>
        </w:rPr>
        <w:t xml:space="preserve"> </w:t>
      </w:r>
      <w:r w:rsidR="00A56758">
        <w:rPr>
          <w:rFonts w:ascii="Century Gothic" w:hAnsi="Century Gothic"/>
          <w:i/>
          <w:iCs/>
        </w:rPr>
        <w:t xml:space="preserve">The Municipality </w:t>
      </w:r>
      <w:r w:rsidRPr="00CB7974">
        <w:rPr>
          <w:rFonts w:ascii="Century Gothic" w:hAnsi="Century Gothic"/>
          <w:i/>
          <w:iCs/>
        </w:rPr>
        <w:t>should involve the internal legal department or seek legal expertise to review and validate the customized contract templates. This step ensures that the contracts are legally sound, enforceable, and protect the interests of the municipality and all parties involved. Legal review helps identify any necessary modifications or additions to the contracts for compliance with relevant laws and regulations.</w:t>
      </w:r>
    </w:p>
    <w:p w14:paraId="66DADCDC" w14:textId="542AE702" w:rsidR="00A83605" w:rsidRPr="00CB7974" w:rsidRDefault="00A83605" w:rsidP="00871EE8">
      <w:pPr>
        <w:pStyle w:val="ListParagraph"/>
        <w:numPr>
          <w:ilvl w:val="0"/>
          <w:numId w:val="25"/>
        </w:numPr>
        <w:shd w:val="clear" w:color="auto" w:fill="F2F2F2" w:themeFill="background1" w:themeFillShade="F2"/>
        <w:spacing w:before="120" w:line="240" w:lineRule="auto"/>
        <w:ind w:left="360"/>
        <w:contextualSpacing w:val="0"/>
        <w:rPr>
          <w:rFonts w:ascii="Century Gothic" w:hAnsi="Century Gothic"/>
          <w:i/>
          <w:iCs/>
        </w:rPr>
      </w:pPr>
      <w:r w:rsidRPr="00CB7974">
        <w:rPr>
          <w:rFonts w:ascii="Century Gothic" w:hAnsi="Century Gothic"/>
          <w:b/>
          <w:bCs/>
          <w:i/>
          <w:iCs/>
        </w:rPr>
        <w:t>Negotiate and Finalize Contracts:</w:t>
      </w:r>
      <w:r w:rsidRPr="00CB7974">
        <w:rPr>
          <w:rFonts w:ascii="Century Gothic" w:hAnsi="Century Gothic"/>
          <w:i/>
          <w:iCs/>
        </w:rPr>
        <w:t xml:space="preserve"> </w:t>
      </w:r>
      <w:r w:rsidR="00A56758">
        <w:rPr>
          <w:rFonts w:ascii="Century Gothic" w:hAnsi="Century Gothic"/>
          <w:i/>
          <w:iCs/>
        </w:rPr>
        <w:t xml:space="preserve">The Municipality </w:t>
      </w:r>
      <w:r w:rsidRPr="00CB7974">
        <w:rPr>
          <w:rFonts w:ascii="Century Gothic" w:hAnsi="Century Gothic"/>
          <w:i/>
          <w:iCs/>
        </w:rPr>
        <w:t>should engage in negotiations with the relevant stakeholders to finalize the contractual arrangements. This involves discussing the terms and conditions, resolving any potential conflicts or concerns, and reaching mutually acceptable agreements. Once the negotiations are completed, the contracts should be finalized, signed, and properly executed by all parties involved.</w:t>
      </w:r>
    </w:p>
    <w:p w14:paraId="42655005" w14:textId="7D4C1EE8" w:rsidR="00A83605" w:rsidRPr="00CB7974" w:rsidRDefault="00A83605" w:rsidP="00871EE8">
      <w:pPr>
        <w:pStyle w:val="ListParagraph"/>
        <w:numPr>
          <w:ilvl w:val="0"/>
          <w:numId w:val="25"/>
        </w:numPr>
        <w:shd w:val="clear" w:color="auto" w:fill="F2F2F2" w:themeFill="background1" w:themeFillShade="F2"/>
        <w:spacing w:before="120" w:line="240" w:lineRule="auto"/>
        <w:ind w:left="360"/>
        <w:contextualSpacing w:val="0"/>
        <w:rPr>
          <w:rFonts w:ascii="Century Gothic" w:hAnsi="Century Gothic"/>
          <w:i/>
          <w:iCs/>
        </w:rPr>
      </w:pPr>
      <w:r w:rsidRPr="00CB7974">
        <w:rPr>
          <w:rFonts w:ascii="Century Gothic" w:hAnsi="Century Gothic"/>
          <w:b/>
          <w:bCs/>
          <w:i/>
          <w:iCs/>
        </w:rPr>
        <w:t>Contract Management:</w:t>
      </w:r>
      <w:r w:rsidRPr="00CB7974">
        <w:rPr>
          <w:rFonts w:ascii="Century Gothic" w:hAnsi="Century Gothic"/>
          <w:i/>
          <w:iCs/>
        </w:rPr>
        <w:t xml:space="preserve"> </w:t>
      </w:r>
      <w:r w:rsidR="00A56758">
        <w:rPr>
          <w:rFonts w:ascii="Century Gothic" w:hAnsi="Century Gothic"/>
          <w:i/>
          <w:iCs/>
        </w:rPr>
        <w:t xml:space="preserve">The Municipality </w:t>
      </w:r>
      <w:r w:rsidRPr="00CB7974">
        <w:rPr>
          <w:rFonts w:ascii="Century Gothic" w:hAnsi="Century Gothic"/>
          <w:i/>
          <w:iCs/>
        </w:rPr>
        <w:t>are responsible for the ongoing management and monitoring of the contractual arrangements. This includes ensuring compliance with the agreed-upon terms, resolving any disputes or issues that may arise, and periodically reviewing and updating the contracts as necessary to reflect changing circumstances or regulatory requirements.</w:t>
      </w:r>
    </w:p>
    <w:p w14:paraId="1359D4EE" w14:textId="053962DE" w:rsidR="00400A12" w:rsidRPr="00CB7974" w:rsidRDefault="00A83605" w:rsidP="00A83605">
      <w:pPr>
        <w:shd w:val="clear" w:color="auto" w:fill="F2F2F2" w:themeFill="background1" w:themeFillShade="F2"/>
        <w:rPr>
          <w:rFonts w:ascii="Century Gothic" w:hAnsi="Century Gothic"/>
          <w:i/>
          <w:iCs/>
        </w:rPr>
      </w:pPr>
      <w:r w:rsidRPr="00CB7974">
        <w:rPr>
          <w:rFonts w:ascii="Century Gothic" w:hAnsi="Century Gothic"/>
          <w:i/>
          <w:iCs/>
        </w:rPr>
        <w:t xml:space="preserve">By identifying contractual arrangements, using templates, customizing contracts, involving the legal department, negotiating and finalizing agreements, and managing the contracts effectively, </w:t>
      </w:r>
      <w:r w:rsidR="00A56758">
        <w:rPr>
          <w:rFonts w:ascii="Century Gothic" w:hAnsi="Century Gothic"/>
          <w:i/>
          <w:iCs/>
        </w:rPr>
        <w:t xml:space="preserve">The Municipality </w:t>
      </w:r>
      <w:r w:rsidRPr="00CB7974">
        <w:rPr>
          <w:rFonts w:ascii="Century Gothic" w:hAnsi="Century Gothic"/>
          <w:i/>
          <w:iCs/>
        </w:rPr>
        <w:t>contribute to the establishment and smooth operation of the third-party wheeling process. Their actions help create a transparent and fair contractual framework that safeguards the interests of all parties involved.</w:t>
      </w:r>
    </w:p>
    <w:p w14:paraId="5A966FF5" w14:textId="68CE8E41" w:rsidR="00BB7FC0" w:rsidRDefault="00C70682" w:rsidP="00BB7FC0">
      <w:pPr>
        <w:shd w:val="clear" w:color="auto" w:fill="F2F2F2" w:themeFill="background1" w:themeFillShade="F2"/>
        <w:rPr>
          <w:rFonts w:ascii="Century Gothic" w:hAnsi="Century Gothic"/>
        </w:rPr>
      </w:pPr>
      <w:r>
        <w:rPr>
          <w:rFonts w:ascii="Century Gothic" w:hAnsi="Century Gothic"/>
          <w:b/>
          <w:bCs/>
          <w:u w:val="single"/>
        </w:rPr>
        <w:t xml:space="preserve">Contract Development </w:t>
      </w:r>
      <w:r w:rsidR="00AB2EC9">
        <w:rPr>
          <w:rFonts w:ascii="Century Gothic" w:hAnsi="Century Gothic"/>
          <w:b/>
          <w:bCs/>
          <w:u w:val="single"/>
        </w:rPr>
        <w:t xml:space="preserve">User Guide and </w:t>
      </w:r>
      <w:r w:rsidR="00BB7FC0">
        <w:rPr>
          <w:rFonts w:ascii="Century Gothic" w:hAnsi="Century Gothic"/>
          <w:b/>
          <w:bCs/>
          <w:u w:val="single"/>
        </w:rPr>
        <w:t>Checklist</w:t>
      </w:r>
    </w:p>
    <w:p w14:paraId="058E243A" w14:textId="6CE39FED" w:rsidR="00921A19" w:rsidRPr="00921A19" w:rsidRDefault="00BB7FC0" w:rsidP="00921A19">
      <w:pPr>
        <w:pStyle w:val="BodyText"/>
        <w:shd w:val="clear" w:color="auto" w:fill="F2F2F2" w:themeFill="background1" w:themeFillShade="F2"/>
        <w:rPr>
          <w:rFonts w:ascii="Century Gothic" w:hAnsi="Century Gothic" w:cs="Arial"/>
        </w:rPr>
      </w:pPr>
      <w:r>
        <w:rPr>
          <w:rFonts w:ascii="Century Gothic" w:hAnsi="Century Gothic" w:cs="Arial"/>
        </w:rPr>
        <w:t xml:space="preserve">A </w:t>
      </w:r>
      <w:r w:rsidR="00C4565F">
        <w:rPr>
          <w:rFonts w:ascii="Century Gothic" w:hAnsi="Century Gothic" w:cs="Arial"/>
        </w:rPr>
        <w:t xml:space="preserve">Contract Development </w:t>
      </w:r>
      <w:r>
        <w:rPr>
          <w:rFonts w:ascii="Century Gothic" w:hAnsi="Century Gothic" w:cs="Arial"/>
        </w:rPr>
        <w:t xml:space="preserve">user guide developed by </w:t>
      </w:r>
      <w:r w:rsidR="005B1A40">
        <w:rPr>
          <w:rFonts w:ascii="Century Gothic" w:hAnsi="Century Gothic" w:cs="Arial"/>
        </w:rPr>
        <w:t xml:space="preserve">the </w:t>
      </w:r>
      <w:r>
        <w:rPr>
          <w:rFonts w:ascii="Century Gothic" w:hAnsi="Century Gothic" w:cs="Arial"/>
        </w:rPr>
        <w:t xml:space="preserve">Western Cape Government </w:t>
      </w:r>
      <w:hyperlink r:id="rId32" w:history="1">
        <w:r w:rsidR="00ED5A06" w:rsidRPr="005E3593">
          <w:rPr>
            <w:rStyle w:val="Hyperlink"/>
            <w:rFonts w:ascii="Century Gothic" w:hAnsi="Century Gothic"/>
          </w:rPr>
          <w:t>Wheeling | 110% Green (westerncape.gov.za)</w:t>
        </w:r>
      </w:hyperlink>
      <w:r w:rsidRPr="009F4413">
        <w:rPr>
          <w:rFonts w:ascii="Century Gothic" w:hAnsi="Century Gothic" w:cs="Arial"/>
        </w:rPr>
        <w:t xml:space="preserve"> is a comprehensive </w:t>
      </w:r>
      <w:r w:rsidR="00C4565F">
        <w:rPr>
          <w:rFonts w:ascii="Century Gothic" w:hAnsi="Century Gothic" w:cs="Arial"/>
        </w:rPr>
        <w:t>document</w:t>
      </w:r>
      <w:r w:rsidR="00C4565F" w:rsidRPr="009F4413">
        <w:rPr>
          <w:rFonts w:ascii="Century Gothic" w:hAnsi="Century Gothic" w:cs="Arial"/>
        </w:rPr>
        <w:t xml:space="preserve"> </w:t>
      </w:r>
      <w:r w:rsidRPr="009F4413">
        <w:rPr>
          <w:rFonts w:ascii="Century Gothic" w:hAnsi="Century Gothic" w:cs="Arial"/>
        </w:rPr>
        <w:t xml:space="preserve">that focuses on providing guidance for </w:t>
      </w:r>
      <w:r>
        <w:rPr>
          <w:rFonts w:ascii="Century Gothic" w:hAnsi="Century Gothic" w:cs="Arial"/>
        </w:rPr>
        <w:t>municipalities</w:t>
      </w:r>
      <w:r w:rsidRPr="009F4413">
        <w:rPr>
          <w:rFonts w:ascii="Century Gothic" w:hAnsi="Century Gothic" w:cs="Arial"/>
        </w:rPr>
        <w:t xml:space="preserve"> involved in </w:t>
      </w:r>
      <w:r>
        <w:rPr>
          <w:rFonts w:ascii="Century Gothic" w:hAnsi="Century Gothic" w:cs="Arial"/>
        </w:rPr>
        <w:t xml:space="preserve">the </w:t>
      </w:r>
      <w:r w:rsidR="00AB2EC9">
        <w:rPr>
          <w:rFonts w:ascii="Century Gothic" w:hAnsi="Century Gothic" w:cs="Arial"/>
        </w:rPr>
        <w:t>third-party</w:t>
      </w:r>
      <w:r w:rsidR="005B1A40">
        <w:rPr>
          <w:rFonts w:ascii="Century Gothic" w:hAnsi="Century Gothic" w:cs="Arial"/>
        </w:rPr>
        <w:t xml:space="preserve"> </w:t>
      </w:r>
      <w:r>
        <w:rPr>
          <w:rFonts w:ascii="Century Gothic" w:hAnsi="Century Gothic" w:cs="Arial"/>
        </w:rPr>
        <w:t>wheeling of electricity</w:t>
      </w:r>
      <w:r w:rsidRPr="009F4413">
        <w:rPr>
          <w:rFonts w:ascii="Century Gothic" w:hAnsi="Century Gothic" w:cs="Arial"/>
        </w:rPr>
        <w:t xml:space="preserve">. It specifically addresses the standard agreements related to electricity wheeling. Within this user guide, </w:t>
      </w:r>
      <w:r>
        <w:rPr>
          <w:rFonts w:ascii="Century Gothic" w:hAnsi="Century Gothic" w:cs="Arial"/>
        </w:rPr>
        <w:t>there is a</w:t>
      </w:r>
      <w:r w:rsidRPr="009F4413">
        <w:rPr>
          <w:rFonts w:ascii="Century Gothic" w:hAnsi="Century Gothic" w:cs="Arial"/>
        </w:rPr>
        <w:t xml:space="preserve"> checklist that outlines the essential elements that should be present in the various contractual agreements associated with wheeling. By referring to this checklist, stakeholders can ensure that their wheeling agreements encompass all necessary components, contractual obligations, and operational considerations. This report equips users with the knowledge they need to </w:t>
      </w:r>
      <w:r>
        <w:rPr>
          <w:rFonts w:ascii="Century Gothic" w:hAnsi="Century Gothic" w:cs="Arial"/>
        </w:rPr>
        <w:t>ensure their various agreements are thorough and all encompassing</w:t>
      </w:r>
      <w:r w:rsidRPr="009F4413">
        <w:rPr>
          <w:rFonts w:ascii="Century Gothic" w:hAnsi="Century Gothic" w:cs="Arial"/>
        </w:rPr>
        <w:t>.</w:t>
      </w:r>
      <w:r>
        <w:rPr>
          <w:rFonts w:ascii="Century Gothic" w:hAnsi="Century Gothic" w:cs="Arial"/>
        </w:rPr>
        <w:t xml:space="preserve"> The checklist can be utilised by management to ensure completeness and accuracy of the various agreements.</w:t>
      </w:r>
      <w:r w:rsidR="00262780">
        <w:rPr>
          <w:rFonts w:ascii="Century Gothic" w:hAnsi="Century Gothic" w:cs="Arial"/>
        </w:rPr>
        <w:t xml:space="preserve"> </w:t>
      </w:r>
      <w:r w:rsidR="00921A19">
        <w:rPr>
          <w:rFonts w:ascii="Century Gothic" w:hAnsi="Century Gothic" w:cs="Arial"/>
        </w:rPr>
        <w:t xml:space="preserve"> </w:t>
      </w:r>
      <w:r w:rsidR="00921A19" w:rsidRPr="00921A19">
        <w:rPr>
          <w:rFonts w:ascii="Century Gothic" w:hAnsi="Century Gothic" w:cs="Arial"/>
        </w:rPr>
        <w:t xml:space="preserve">In order to accelerate the deployment of electricity </w:t>
      </w:r>
      <w:r w:rsidR="00921A19">
        <w:rPr>
          <w:rFonts w:ascii="Century Gothic" w:hAnsi="Century Gothic" w:cs="Arial"/>
        </w:rPr>
        <w:t>third</w:t>
      </w:r>
      <w:r w:rsidR="00C36D5D">
        <w:rPr>
          <w:rFonts w:ascii="Century Gothic" w:hAnsi="Century Gothic" w:cs="Arial"/>
        </w:rPr>
        <w:t>-</w:t>
      </w:r>
      <w:r w:rsidR="00921A19">
        <w:rPr>
          <w:rFonts w:ascii="Century Gothic" w:hAnsi="Century Gothic" w:cs="Arial"/>
        </w:rPr>
        <w:t xml:space="preserve">party </w:t>
      </w:r>
      <w:r w:rsidR="00921A19" w:rsidRPr="00921A19">
        <w:rPr>
          <w:rFonts w:ascii="Century Gothic" w:hAnsi="Century Gothic" w:cs="Arial"/>
        </w:rPr>
        <w:t>wheeling and to reduce administration and costs thereof for municipalities</w:t>
      </w:r>
      <w:r w:rsidR="00921A19">
        <w:rPr>
          <w:rFonts w:ascii="Century Gothic" w:hAnsi="Century Gothic" w:cs="Arial"/>
        </w:rPr>
        <w:t xml:space="preserve">, the </w:t>
      </w:r>
      <w:r w:rsidR="00921A19" w:rsidRPr="00921A19">
        <w:rPr>
          <w:rFonts w:ascii="Century Gothic" w:hAnsi="Century Gothic" w:cs="Arial"/>
        </w:rPr>
        <w:t>Western Cape</w:t>
      </w:r>
      <w:r w:rsidR="00921A19">
        <w:rPr>
          <w:rFonts w:ascii="Century Gothic" w:hAnsi="Century Gothic" w:cs="Arial"/>
        </w:rPr>
        <w:t xml:space="preserve"> Government have developed</w:t>
      </w:r>
      <w:r w:rsidR="00921A19" w:rsidRPr="00921A19">
        <w:rPr>
          <w:rFonts w:ascii="Century Gothic" w:hAnsi="Century Gothic" w:cs="Arial"/>
        </w:rPr>
        <w:t xml:space="preserve"> the following standardised agreements in a manner that can be customised according to each municipality’s needs:</w:t>
      </w:r>
    </w:p>
    <w:p w14:paraId="39107EEA" w14:textId="623A8394" w:rsidR="00921A19" w:rsidRPr="00921A19" w:rsidRDefault="00921A19" w:rsidP="00921A19">
      <w:pPr>
        <w:pStyle w:val="BodyText"/>
        <w:shd w:val="clear" w:color="auto" w:fill="F2F2F2" w:themeFill="background1" w:themeFillShade="F2"/>
        <w:rPr>
          <w:rFonts w:ascii="Century Gothic" w:hAnsi="Century Gothic" w:cs="Arial"/>
        </w:rPr>
      </w:pPr>
      <w:r w:rsidRPr="00921A19">
        <w:rPr>
          <w:rFonts w:ascii="Century Gothic" w:hAnsi="Century Gothic" w:cs="Arial"/>
        </w:rPr>
        <w:t>•</w:t>
      </w:r>
      <w:r w:rsidRPr="00921A19">
        <w:rPr>
          <w:rFonts w:ascii="Century Gothic" w:hAnsi="Century Gothic" w:cs="Arial"/>
        </w:rPr>
        <w:tab/>
        <w:t>Standard Use</w:t>
      </w:r>
      <w:r w:rsidR="0091333B">
        <w:rPr>
          <w:rFonts w:ascii="Century Gothic" w:hAnsi="Century Gothic" w:cs="Arial"/>
        </w:rPr>
        <w:t>-</w:t>
      </w:r>
      <w:r w:rsidRPr="00921A19">
        <w:rPr>
          <w:rFonts w:ascii="Century Gothic" w:hAnsi="Century Gothic" w:cs="Arial"/>
        </w:rPr>
        <w:t>of</w:t>
      </w:r>
      <w:r w:rsidR="0091333B">
        <w:rPr>
          <w:rFonts w:ascii="Century Gothic" w:hAnsi="Century Gothic" w:cs="Arial"/>
        </w:rPr>
        <w:t>-</w:t>
      </w:r>
      <w:r w:rsidRPr="00921A19">
        <w:rPr>
          <w:rFonts w:ascii="Century Gothic" w:hAnsi="Century Gothic" w:cs="Arial"/>
        </w:rPr>
        <w:t>Systems Agreement for Electricity Wheeling (“</w:t>
      </w:r>
      <w:proofErr w:type="spellStart"/>
      <w:r w:rsidRPr="00921A19">
        <w:rPr>
          <w:rFonts w:ascii="Century Gothic" w:hAnsi="Century Gothic" w:cs="Arial"/>
        </w:rPr>
        <w:t>U</w:t>
      </w:r>
      <w:r w:rsidR="00812077">
        <w:rPr>
          <w:rFonts w:ascii="Century Gothic" w:hAnsi="Century Gothic" w:cs="Arial"/>
        </w:rPr>
        <w:t>o</w:t>
      </w:r>
      <w:r w:rsidRPr="00921A19">
        <w:rPr>
          <w:rFonts w:ascii="Century Gothic" w:hAnsi="Century Gothic" w:cs="Arial"/>
        </w:rPr>
        <w:t>SA</w:t>
      </w:r>
      <w:proofErr w:type="spellEnd"/>
      <w:r w:rsidRPr="00921A19">
        <w:rPr>
          <w:rFonts w:ascii="Century Gothic" w:hAnsi="Century Gothic" w:cs="Arial"/>
        </w:rPr>
        <w:t>”);</w:t>
      </w:r>
    </w:p>
    <w:p w14:paraId="48E1B98A" w14:textId="77777777" w:rsidR="00921A19" w:rsidRPr="00921A19" w:rsidRDefault="00921A19" w:rsidP="00921A19">
      <w:pPr>
        <w:pStyle w:val="BodyText"/>
        <w:shd w:val="clear" w:color="auto" w:fill="F2F2F2" w:themeFill="background1" w:themeFillShade="F2"/>
        <w:rPr>
          <w:rFonts w:ascii="Century Gothic" w:hAnsi="Century Gothic" w:cs="Arial"/>
        </w:rPr>
      </w:pPr>
      <w:r w:rsidRPr="00921A19">
        <w:rPr>
          <w:rFonts w:ascii="Century Gothic" w:hAnsi="Century Gothic" w:cs="Arial"/>
        </w:rPr>
        <w:t>•</w:t>
      </w:r>
      <w:r w:rsidRPr="00921A19">
        <w:rPr>
          <w:rFonts w:ascii="Century Gothic" w:hAnsi="Century Gothic" w:cs="Arial"/>
        </w:rPr>
        <w:tab/>
        <w:t>Connection Agreement; and</w:t>
      </w:r>
    </w:p>
    <w:p w14:paraId="056ECC91" w14:textId="79D6AF89" w:rsidR="00BB7FC0" w:rsidRPr="00400A12" w:rsidRDefault="00921A19" w:rsidP="00921A19">
      <w:pPr>
        <w:pStyle w:val="BodyText"/>
        <w:shd w:val="clear" w:color="auto" w:fill="F2F2F2" w:themeFill="background1" w:themeFillShade="F2"/>
        <w:rPr>
          <w:rFonts w:ascii="Century Gothic" w:hAnsi="Century Gothic" w:cs="Arial"/>
        </w:rPr>
      </w:pPr>
      <w:r w:rsidRPr="00921A19">
        <w:rPr>
          <w:rFonts w:ascii="Century Gothic" w:hAnsi="Century Gothic" w:cs="Arial"/>
        </w:rPr>
        <w:t>•</w:t>
      </w:r>
      <w:r w:rsidRPr="00921A19">
        <w:rPr>
          <w:rFonts w:ascii="Century Gothic" w:hAnsi="Century Gothic" w:cs="Arial"/>
        </w:rPr>
        <w:tab/>
        <w:t>Supplemental Electric</w:t>
      </w:r>
      <w:r w:rsidR="008073CA">
        <w:rPr>
          <w:rFonts w:ascii="Century Gothic" w:hAnsi="Century Gothic" w:cs="Arial"/>
        </w:rPr>
        <w:t>ity</w:t>
      </w:r>
      <w:r w:rsidRPr="00921A19">
        <w:rPr>
          <w:rFonts w:ascii="Century Gothic" w:hAnsi="Century Gothic" w:cs="Arial"/>
        </w:rPr>
        <w:t xml:space="preserve"> Supply Agreement (“Supplemental ESA”).</w:t>
      </w:r>
    </w:p>
    <w:p w14:paraId="32C29513" w14:textId="77777777" w:rsidR="00D2708B" w:rsidRDefault="00D2708B" w:rsidP="00BB7FC0">
      <w:pPr>
        <w:rPr>
          <w:rFonts w:ascii="Segoe UI Emoji" w:hAnsi="Segoe UI Emoji" w:cs="Segoe UI Emoji"/>
          <w:b/>
          <w:bCs/>
          <w:u w:val="single"/>
        </w:rPr>
      </w:pPr>
    </w:p>
    <w:p w14:paraId="0DEB4166" w14:textId="23DB651B" w:rsidR="00EC58DD" w:rsidRPr="00BB7FC0" w:rsidRDefault="00400A12" w:rsidP="00BB7FC0">
      <w:pPr>
        <w:rPr>
          <w:rFonts w:ascii="Century Gothic" w:hAnsi="Century Gothic"/>
          <w:b/>
          <w:u w:val="single"/>
        </w:rPr>
      </w:pPr>
      <w:r w:rsidRPr="00FE49F7">
        <w:rPr>
          <w:rFonts w:ascii="Segoe UI Emoji" w:hAnsi="Segoe UI Emoji" w:cs="Segoe UI Emoji"/>
          <w:b/>
          <w:bCs/>
          <w:u w:val="single"/>
        </w:rPr>
        <w:t>💡</w:t>
      </w:r>
      <w:r w:rsidRPr="00FE49F7">
        <w:rPr>
          <w:rFonts w:ascii="Century Gothic" w:hAnsi="Century Gothic"/>
          <w:b/>
          <w:bCs/>
          <w:u w:val="single"/>
        </w:rPr>
        <w:t xml:space="preserve">Illustrative example </w:t>
      </w:r>
    </w:p>
    <w:p w14:paraId="1538A5AC" w14:textId="12DA871E" w:rsidR="00EC58DD" w:rsidRPr="00400A12" w:rsidRDefault="00EC58DD" w:rsidP="00EC58DD">
      <w:pPr>
        <w:pStyle w:val="BodyText"/>
        <w:rPr>
          <w:rFonts w:ascii="Century Gothic" w:hAnsi="Century Gothic" w:cs="Arial"/>
        </w:rPr>
      </w:pPr>
      <w:r w:rsidRPr="00400A12">
        <w:rPr>
          <w:rFonts w:ascii="Century Gothic" w:hAnsi="Century Gothic" w:cs="Arial"/>
        </w:rPr>
        <w:t>The following contracts are required for third-party wheeling</w:t>
      </w:r>
      <w:r w:rsidR="00E15553">
        <w:rPr>
          <w:rFonts w:ascii="Century Gothic" w:hAnsi="Century Gothic" w:cs="Arial"/>
        </w:rPr>
        <w:t xml:space="preserve"> and can vary depending on if Eskom is involved or not.</w:t>
      </w:r>
      <w:r w:rsidRPr="00400A12">
        <w:rPr>
          <w:rFonts w:ascii="Century Gothic" w:hAnsi="Century Gothic" w:cs="Arial"/>
        </w:rPr>
        <w:t>:</w:t>
      </w:r>
    </w:p>
    <w:p w14:paraId="39387321" w14:textId="4CA3CCF8" w:rsidR="00EC58DD" w:rsidRPr="00400A12" w:rsidRDefault="00EC58DD" w:rsidP="00871EE8">
      <w:pPr>
        <w:pStyle w:val="BodyText"/>
        <w:numPr>
          <w:ilvl w:val="0"/>
          <w:numId w:val="14"/>
        </w:numPr>
        <w:rPr>
          <w:rFonts w:ascii="Century Gothic" w:hAnsi="Century Gothic" w:cs="Arial"/>
        </w:rPr>
      </w:pPr>
      <w:r w:rsidRPr="00400A12">
        <w:rPr>
          <w:rFonts w:ascii="Century Gothic" w:hAnsi="Century Gothic" w:cs="Arial"/>
        </w:rPr>
        <w:t xml:space="preserve">Agreement with the </w:t>
      </w:r>
      <w:r w:rsidR="00F504D0">
        <w:rPr>
          <w:rFonts w:ascii="Century Gothic" w:hAnsi="Century Gothic" w:cs="Arial"/>
        </w:rPr>
        <w:t xml:space="preserve">IPP </w:t>
      </w:r>
      <w:r w:rsidRPr="00400A12">
        <w:rPr>
          <w:rFonts w:ascii="Century Gothic" w:hAnsi="Century Gothic" w:cs="Arial"/>
        </w:rPr>
        <w:t>Generator:</w:t>
      </w:r>
    </w:p>
    <w:p w14:paraId="45A582F1" w14:textId="06BFE2D1" w:rsidR="00EC58DD" w:rsidRPr="00400A12" w:rsidRDefault="00EC58DD" w:rsidP="00871EE8">
      <w:pPr>
        <w:pStyle w:val="BodyText"/>
        <w:numPr>
          <w:ilvl w:val="0"/>
          <w:numId w:val="42"/>
        </w:numPr>
        <w:spacing w:before="120" w:after="120" w:line="240" w:lineRule="auto"/>
        <w:rPr>
          <w:rFonts w:ascii="Century Gothic" w:hAnsi="Century Gothic" w:cs="Arial"/>
        </w:rPr>
      </w:pPr>
      <w:r w:rsidRPr="00400A12">
        <w:rPr>
          <w:rFonts w:ascii="Century Gothic" w:hAnsi="Century Gothic" w:cs="Arial"/>
        </w:rPr>
        <w:lastRenderedPageBreak/>
        <w:t>The generator must enter into an agreement with the Network Service Provider (Licensee</w:t>
      </w:r>
      <w:r w:rsidR="00801B65">
        <w:rPr>
          <w:rFonts w:ascii="Century Gothic" w:hAnsi="Century Gothic" w:cs="Arial"/>
        </w:rPr>
        <w:t xml:space="preserve"> or Municipality</w:t>
      </w:r>
      <w:r w:rsidRPr="00400A12">
        <w:rPr>
          <w:rFonts w:ascii="Century Gothic" w:hAnsi="Century Gothic" w:cs="Arial"/>
        </w:rPr>
        <w:t>) that outlines the terms and conditions for connection to and use of the Network.</w:t>
      </w:r>
    </w:p>
    <w:p w14:paraId="799D3C1A" w14:textId="057F184B" w:rsidR="00EC58DD" w:rsidRPr="00400A12" w:rsidRDefault="00EC58DD" w:rsidP="00871EE8">
      <w:pPr>
        <w:pStyle w:val="BodyText"/>
        <w:numPr>
          <w:ilvl w:val="0"/>
          <w:numId w:val="42"/>
        </w:numPr>
        <w:spacing w:before="120" w:after="120" w:line="240" w:lineRule="auto"/>
        <w:rPr>
          <w:rFonts w:ascii="Century Gothic" w:hAnsi="Century Gothic" w:cs="Arial"/>
        </w:rPr>
      </w:pPr>
      <w:r w:rsidRPr="00400A12">
        <w:rPr>
          <w:rFonts w:ascii="Century Gothic" w:hAnsi="Century Gothic" w:cs="Arial"/>
        </w:rPr>
        <w:t xml:space="preserve">This agreement includes the </w:t>
      </w:r>
      <w:r w:rsidR="003B2907">
        <w:rPr>
          <w:rFonts w:ascii="Century Gothic" w:hAnsi="Century Gothic" w:cs="Arial"/>
        </w:rPr>
        <w:t>C</w:t>
      </w:r>
      <w:r w:rsidRPr="00400A12">
        <w:rPr>
          <w:rFonts w:ascii="Century Gothic" w:hAnsi="Century Gothic" w:cs="Arial"/>
        </w:rPr>
        <w:t xml:space="preserve">onnection and </w:t>
      </w:r>
      <w:r w:rsidR="003B2907">
        <w:rPr>
          <w:rFonts w:ascii="Century Gothic" w:hAnsi="Century Gothic" w:cs="Arial"/>
        </w:rPr>
        <w:t>U</w:t>
      </w:r>
      <w:r w:rsidRPr="00400A12">
        <w:rPr>
          <w:rFonts w:ascii="Century Gothic" w:hAnsi="Century Gothic" w:cs="Arial"/>
        </w:rPr>
        <w:t>se</w:t>
      </w:r>
      <w:r w:rsidR="003B2907">
        <w:rPr>
          <w:rFonts w:ascii="Century Gothic" w:hAnsi="Century Gothic" w:cs="Arial"/>
        </w:rPr>
        <w:t>-</w:t>
      </w:r>
      <w:r w:rsidRPr="00400A12">
        <w:rPr>
          <w:rFonts w:ascii="Century Gothic" w:hAnsi="Century Gothic" w:cs="Arial"/>
        </w:rPr>
        <w:t>of</w:t>
      </w:r>
      <w:r w:rsidR="003B2907">
        <w:rPr>
          <w:rFonts w:ascii="Century Gothic" w:hAnsi="Century Gothic" w:cs="Arial"/>
        </w:rPr>
        <w:t>-S</w:t>
      </w:r>
      <w:r w:rsidRPr="00400A12">
        <w:rPr>
          <w:rFonts w:ascii="Century Gothic" w:hAnsi="Century Gothic" w:cs="Arial"/>
        </w:rPr>
        <w:t xml:space="preserve">ystem </w:t>
      </w:r>
      <w:r w:rsidR="003B2907">
        <w:rPr>
          <w:rFonts w:ascii="Century Gothic" w:hAnsi="Century Gothic" w:cs="Arial"/>
        </w:rPr>
        <w:t>A</w:t>
      </w:r>
      <w:r w:rsidRPr="00400A12">
        <w:rPr>
          <w:rFonts w:ascii="Century Gothic" w:hAnsi="Century Gothic" w:cs="Arial"/>
        </w:rPr>
        <w:t>greement, which may specify details about the Buyer of the Wheeled Energy.</w:t>
      </w:r>
    </w:p>
    <w:p w14:paraId="2017A882" w14:textId="77777777" w:rsidR="00EC58DD" w:rsidRPr="00400A12" w:rsidRDefault="00EC58DD" w:rsidP="00871EE8">
      <w:pPr>
        <w:pStyle w:val="BodyText"/>
        <w:numPr>
          <w:ilvl w:val="0"/>
          <w:numId w:val="42"/>
        </w:numPr>
        <w:spacing w:before="120" w:after="120" w:line="240" w:lineRule="auto"/>
        <w:rPr>
          <w:rFonts w:ascii="Century Gothic" w:hAnsi="Century Gothic" w:cs="Arial"/>
        </w:rPr>
      </w:pPr>
      <w:r w:rsidRPr="00400A12">
        <w:rPr>
          <w:rFonts w:ascii="Century Gothic" w:hAnsi="Century Gothic" w:cs="Arial"/>
        </w:rPr>
        <w:t>It addresses technical and operational aspects such as compliance with codes, metering requirements, maintenance responsibilities, and safety protocols.</w:t>
      </w:r>
    </w:p>
    <w:p w14:paraId="46A84ED4" w14:textId="77777777" w:rsidR="00EC58DD" w:rsidRDefault="00EC58DD" w:rsidP="00871EE8">
      <w:pPr>
        <w:pStyle w:val="BodyText"/>
        <w:numPr>
          <w:ilvl w:val="0"/>
          <w:numId w:val="42"/>
        </w:numPr>
        <w:spacing w:before="120" w:after="120" w:line="240" w:lineRule="auto"/>
        <w:rPr>
          <w:rFonts w:ascii="Century Gothic" w:hAnsi="Century Gothic" w:cs="Arial"/>
        </w:rPr>
      </w:pPr>
      <w:r w:rsidRPr="00400A12">
        <w:rPr>
          <w:rFonts w:ascii="Century Gothic" w:hAnsi="Century Gothic" w:cs="Arial"/>
        </w:rPr>
        <w:t>These requirements ensure that the generator meets legal and technical standards, operates within the regulatory framework, and maintains the integrity and reliability of the Network.</w:t>
      </w:r>
    </w:p>
    <w:p w14:paraId="7B84A46B" w14:textId="176E9C91" w:rsidR="00F6264B" w:rsidRPr="00FA0EE9" w:rsidRDefault="00032902" w:rsidP="00871EE8">
      <w:pPr>
        <w:pStyle w:val="BodyText"/>
        <w:numPr>
          <w:ilvl w:val="0"/>
          <w:numId w:val="42"/>
        </w:numPr>
        <w:spacing w:before="120" w:after="120" w:line="240" w:lineRule="auto"/>
        <w:rPr>
          <w:rFonts w:ascii="Century Gothic" w:hAnsi="Century Gothic" w:cs="Arial"/>
        </w:rPr>
      </w:pPr>
      <w:r>
        <w:rPr>
          <w:rFonts w:ascii="Century Gothic" w:hAnsi="Century Gothic" w:cs="Arial"/>
        </w:rPr>
        <w:t xml:space="preserve">Then </w:t>
      </w:r>
      <w:r w:rsidR="003B2907">
        <w:rPr>
          <w:rFonts w:ascii="Century Gothic" w:hAnsi="Century Gothic" w:cs="Arial"/>
        </w:rPr>
        <w:t>f</w:t>
      </w:r>
      <w:r w:rsidRPr="00032902">
        <w:rPr>
          <w:rFonts w:ascii="Century Gothic" w:hAnsi="Century Gothic" w:cs="Arial"/>
        </w:rPr>
        <w:t xml:space="preserve">rom a municipal contractual perspective, the generator signs a </w:t>
      </w:r>
      <w:r w:rsidR="000B1202" w:rsidRPr="000B1202">
        <w:rPr>
          <w:rFonts w:ascii="Century Gothic" w:hAnsi="Century Gothic" w:cs="Arial"/>
        </w:rPr>
        <w:t>Distribution, Connection and Use</w:t>
      </w:r>
      <w:r w:rsidR="00B9778C">
        <w:rPr>
          <w:rFonts w:ascii="Century Gothic" w:hAnsi="Century Gothic" w:cs="Arial"/>
        </w:rPr>
        <w:t>-</w:t>
      </w:r>
      <w:r w:rsidR="000B1202" w:rsidRPr="000B1202">
        <w:rPr>
          <w:rFonts w:ascii="Century Gothic" w:hAnsi="Century Gothic" w:cs="Arial"/>
        </w:rPr>
        <w:t>of</w:t>
      </w:r>
      <w:r w:rsidR="00B9778C">
        <w:rPr>
          <w:rFonts w:ascii="Century Gothic" w:hAnsi="Century Gothic" w:cs="Arial"/>
        </w:rPr>
        <w:t>-</w:t>
      </w:r>
      <w:r w:rsidR="000B1202" w:rsidRPr="000B1202">
        <w:rPr>
          <w:rFonts w:ascii="Century Gothic" w:hAnsi="Century Gothic" w:cs="Arial"/>
        </w:rPr>
        <w:t xml:space="preserve">System Agreement </w:t>
      </w:r>
      <w:r w:rsidR="00B9778C">
        <w:rPr>
          <w:rFonts w:ascii="Century Gothic" w:hAnsi="Century Gothic" w:cs="Arial"/>
        </w:rPr>
        <w:t>(</w:t>
      </w:r>
      <w:proofErr w:type="spellStart"/>
      <w:r w:rsidRPr="00032902">
        <w:rPr>
          <w:rFonts w:ascii="Century Gothic" w:hAnsi="Century Gothic" w:cs="Arial"/>
        </w:rPr>
        <w:t>DCU</w:t>
      </w:r>
      <w:r w:rsidR="00F37373">
        <w:rPr>
          <w:rFonts w:ascii="Century Gothic" w:hAnsi="Century Gothic" w:cs="Arial"/>
        </w:rPr>
        <w:t>o</w:t>
      </w:r>
      <w:r w:rsidRPr="00032902">
        <w:rPr>
          <w:rFonts w:ascii="Century Gothic" w:hAnsi="Century Gothic" w:cs="Arial"/>
        </w:rPr>
        <w:t>SA</w:t>
      </w:r>
      <w:proofErr w:type="spellEnd"/>
      <w:r w:rsidR="00B9778C">
        <w:rPr>
          <w:rFonts w:ascii="Century Gothic" w:hAnsi="Century Gothic" w:cs="Arial"/>
        </w:rPr>
        <w:t>)</w:t>
      </w:r>
      <w:r w:rsidRPr="00032902">
        <w:rPr>
          <w:rFonts w:ascii="Century Gothic" w:hAnsi="Century Gothic" w:cs="Arial"/>
        </w:rPr>
        <w:t xml:space="preserve"> with Eskom</w:t>
      </w:r>
      <w:r w:rsidR="00E15553">
        <w:rPr>
          <w:rFonts w:ascii="Century Gothic" w:hAnsi="Century Gothic" w:cs="Arial"/>
        </w:rPr>
        <w:t xml:space="preserve"> (</w:t>
      </w:r>
      <w:r w:rsidR="00017459">
        <w:rPr>
          <w:rFonts w:ascii="Century Gothic" w:hAnsi="Century Gothic" w:cs="Arial"/>
        </w:rPr>
        <w:t>if Eskom is wheeling)</w:t>
      </w:r>
      <w:r w:rsidRPr="00032902">
        <w:rPr>
          <w:rFonts w:ascii="Century Gothic" w:hAnsi="Century Gothic" w:cs="Arial"/>
        </w:rPr>
        <w:t>, which falls outside the scope of this Guide. For purposes of accounting for the electrical energy needing to be distributed to the Off</w:t>
      </w:r>
      <w:r w:rsidR="00F37373">
        <w:rPr>
          <w:rFonts w:ascii="Century Gothic" w:hAnsi="Century Gothic" w:cs="Arial"/>
        </w:rPr>
        <w:t>-</w:t>
      </w:r>
      <w:r w:rsidRPr="00032902">
        <w:rPr>
          <w:rFonts w:ascii="Century Gothic" w:hAnsi="Century Gothic" w:cs="Arial"/>
        </w:rPr>
        <w:t xml:space="preserve">taker connected to the Municipal Distribution System, the generator </w:t>
      </w:r>
      <w:r w:rsidR="00FA0EE9">
        <w:rPr>
          <w:rFonts w:ascii="Century Gothic" w:hAnsi="Century Gothic" w:cs="Arial"/>
        </w:rPr>
        <w:t xml:space="preserve">(or trader) </w:t>
      </w:r>
      <w:r w:rsidRPr="00032902">
        <w:rPr>
          <w:rFonts w:ascii="Century Gothic" w:hAnsi="Century Gothic" w:cs="Arial"/>
        </w:rPr>
        <w:t xml:space="preserve">will also have to sign a </w:t>
      </w:r>
      <w:r w:rsidR="00FA0EE9" w:rsidRPr="00553993">
        <w:rPr>
          <w:rFonts w:ascii="Century Gothic" w:hAnsi="Century Gothic" w:cs="Arial"/>
        </w:rPr>
        <w:t>Standard Use</w:t>
      </w:r>
      <w:r w:rsidR="00C61FB7">
        <w:rPr>
          <w:rFonts w:ascii="Century Gothic" w:hAnsi="Century Gothic" w:cs="Arial"/>
        </w:rPr>
        <w:t>-</w:t>
      </w:r>
      <w:r w:rsidR="00FA0EE9" w:rsidRPr="00553993">
        <w:rPr>
          <w:rFonts w:ascii="Century Gothic" w:hAnsi="Century Gothic" w:cs="Arial"/>
        </w:rPr>
        <w:t>of</w:t>
      </w:r>
      <w:r w:rsidR="00C61FB7">
        <w:rPr>
          <w:rFonts w:ascii="Century Gothic" w:hAnsi="Century Gothic" w:cs="Arial"/>
        </w:rPr>
        <w:t>-</w:t>
      </w:r>
      <w:r w:rsidR="00FA0EE9" w:rsidRPr="00553993">
        <w:rPr>
          <w:rFonts w:ascii="Century Gothic" w:hAnsi="Century Gothic" w:cs="Arial"/>
        </w:rPr>
        <w:t>Systems Agreement for Electricity Wheeling (“</w:t>
      </w:r>
      <w:proofErr w:type="spellStart"/>
      <w:r w:rsidR="00FA0EE9" w:rsidRPr="00553993">
        <w:rPr>
          <w:rFonts w:ascii="Century Gothic" w:hAnsi="Century Gothic" w:cs="Arial"/>
        </w:rPr>
        <w:t>UoSA</w:t>
      </w:r>
      <w:proofErr w:type="spellEnd"/>
      <w:r w:rsidR="00FA0EE9" w:rsidRPr="00553993">
        <w:rPr>
          <w:rFonts w:ascii="Century Gothic" w:hAnsi="Century Gothic" w:cs="Arial"/>
        </w:rPr>
        <w:t>”)</w:t>
      </w:r>
      <w:r w:rsidR="00FA0EE9" w:rsidRPr="00FA0EE9">
        <w:rPr>
          <w:rFonts w:ascii="Century Gothic" w:hAnsi="Century Gothic" w:cs="Arial"/>
        </w:rPr>
        <w:t xml:space="preserve"> with</w:t>
      </w:r>
      <w:r w:rsidRPr="00FA0EE9">
        <w:rPr>
          <w:rFonts w:ascii="Century Gothic" w:hAnsi="Century Gothic" w:cs="Arial"/>
        </w:rPr>
        <w:t xml:space="preserve"> the Municipality</w:t>
      </w:r>
      <w:r w:rsidR="00D60536">
        <w:rPr>
          <w:rFonts w:ascii="Century Gothic" w:hAnsi="Century Gothic" w:cs="Arial"/>
        </w:rPr>
        <w:t>.</w:t>
      </w:r>
    </w:p>
    <w:p w14:paraId="41E4FF6B" w14:textId="196C6C04" w:rsidR="00EC58DD" w:rsidRPr="00400A12" w:rsidRDefault="00EC58DD" w:rsidP="00871EE8">
      <w:pPr>
        <w:pStyle w:val="BodyText"/>
        <w:numPr>
          <w:ilvl w:val="0"/>
          <w:numId w:val="14"/>
        </w:numPr>
        <w:rPr>
          <w:rFonts w:ascii="Century Gothic" w:hAnsi="Century Gothic" w:cs="Arial"/>
        </w:rPr>
      </w:pPr>
      <w:r w:rsidRPr="00400A12">
        <w:rPr>
          <w:rFonts w:ascii="Century Gothic" w:hAnsi="Century Gothic" w:cs="Arial"/>
        </w:rPr>
        <w:t xml:space="preserve">Agreement with the </w:t>
      </w:r>
      <w:r w:rsidR="00FB5506">
        <w:rPr>
          <w:rFonts w:ascii="Century Gothic" w:hAnsi="Century Gothic" w:cs="Arial"/>
        </w:rPr>
        <w:t>Off-taker</w:t>
      </w:r>
      <w:r w:rsidRPr="00400A12">
        <w:rPr>
          <w:rFonts w:ascii="Century Gothic" w:hAnsi="Century Gothic" w:cs="Arial"/>
        </w:rPr>
        <w:t>:</w:t>
      </w:r>
    </w:p>
    <w:p w14:paraId="09279500" w14:textId="4B39DD61" w:rsidR="00EC58DD" w:rsidRPr="00400A12" w:rsidRDefault="00EC58DD" w:rsidP="00871EE8">
      <w:pPr>
        <w:pStyle w:val="BodyText"/>
        <w:numPr>
          <w:ilvl w:val="0"/>
          <w:numId w:val="42"/>
        </w:numPr>
        <w:spacing w:before="120" w:after="120" w:line="240" w:lineRule="auto"/>
        <w:rPr>
          <w:rFonts w:ascii="Century Gothic" w:hAnsi="Century Gothic" w:cs="Arial"/>
        </w:rPr>
      </w:pPr>
      <w:r w:rsidRPr="00400A12">
        <w:rPr>
          <w:rFonts w:ascii="Century Gothic" w:hAnsi="Century Gothic" w:cs="Arial"/>
        </w:rPr>
        <w:t>An agreement is needed with the Buyer of the Wheeled Energy to account for the energy flowing onto the Licensee</w:t>
      </w:r>
      <w:r w:rsidR="00F24C25">
        <w:rPr>
          <w:rFonts w:ascii="Century Gothic" w:hAnsi="Century Gothic" w:cs="Arial"/>
        </w:rPr>
        <w:t>’</w:t>
      </w:r>
      <w:r w:rsidRPr="00400A12">
        <w:rPr>
          <w:rFonts w:ascii="Century Gothic" w:hAnsi="Century Gothic" w:cs="Arial"/>
        </w:rPr>
        <w:t>s Network</w:t>
      </w:r>
      <w:r w:rsidR="00D60536">
        <w:rPr>
          <w:rFonts w:ascii="Century Gothic" w:hAnsi="Century Gothic" w:cs="Arial"/>
        </w:rPr>
        <w:t>,</w:t>
      </w:r>
      <w:r w:rsidRPr="00400A12">
        <w:rPr>
          <w:rFonts w:ascii="Century Gothic" w:hAnsi="Century Gothic" w:cs="Arial"/>
        </w:rPr>
        <w:t xml:space="preserve"> but not owned by the Licensee.</w:t>
      </w:r>
    </w:p>
    <w:p w14:paraId="4E8BCE68" w14:textId="05EEBFCA" w:rsidR="00EC58DD" w:rsidRPr="00400A12" w:rsidRDefault="00EC58DD" w:rsidP="00871EE8">
      <w:pPr>
        <w:pStyle w:val="BodyText"/>
        <w:numPr>
          <w:ilvl w:val="0"/>
          <w:numId w:val="42"/>
        </w:numPr>
        <w:spacing w:before="120" w:after="120" w:line="240" w:lineRule="auto"/>
        <w:rPr>
          <w:rFonts w:ascii="Century Gothic" w:hAnsi="Century Gothic" w:cs="Arial"/>
        </w:rPr>
      </w:pPr>
      <w:r w:rsidRPr="00400A12">
        <w:rPr>
          <w:rFonts w:ascii="Century Gothic" w:hAnsi="Century Gothic" w:cs="Arial"/>
        </w:rPr>
        <w:t>This can be achieved through an amendment or addendum to the existing supply agreement</w:t>
      </w:r>
      <w:r w:rsidR="00FC25FE">
        <w:rPr>
          <w:rFonts w:ascii="Century Gothic" w:hAnsi="Century Gothic" w:cs="Arial"/>
        </w:rPr>
        <w:t xml:space="preserve"> known as the </w:t>
      </w:r>
      <w:r w:rsidR="00FC25FE" w:rsidRPr="00921A19">
        <w:rPr>
          <w:rFonts w:ascii="Century Gothic" w:hAnsi="Century Gothic" w:cs="Arial"/>
        </w:rPr>
        <w:t>Supplemental Electric</w:t>
      </w:r>
      <w:r w:rsidR="00C61FB7">
        <w:rPr>
          <w:rFonts w:ascii="Century Gothic" w:hAnsi="Century Gothic" w:cs="Arial"/>
        </w:rPr>
        <w:t>ity</w:t>
      </w:r>
      <w:r w:rsidR="00FC25FE" w:rsidRPr="00921A19">
        <w:rPr>
          <w:rFonts w:ascii="Century Gothic" w:hAnsi="Century Gothic" w:cs="Arial"/>
        </w:rPr>
        <w:t xml:space="preserve"> Supply Agreement</w:t>
      </w:r>
      <w:r w:rsidR="00F24C25">
        <w:rPr>
          <w:rFonts w:ascii="Century Gothic" w:hAnsi="Century Gothic" w:cs="Arial"/>
        </w:rPr>
        <w:t xml:space="preserve"> (ESA)</w:t>
      </w:r>
      <w:r w:rsidR="00FC25FE">
        <w:rPr>
          <w:rFonts w:ascii="Century Gothic" w:hAnsi="Century Gothic" w:cs="Arial"/>
        </w:rPr>
        <w:t>.</w:t>
      </w:r>
    </w:p>
    <w:p w14:paraId="647A4877" w14:textId="18D07A5D" w:rsidR="00EC58DD" w:rsidRDefault="00EC58DD" w:rsidP="00871EE8">
      <w:pPr>
        <w:pStyle w:val="BodyText"/>
        <w:numPr>
          <w:ilvl w:val="0"/>
          <w:numId w:val="42"/>
        </w:numPr>
        <w:spacing w:before="120" w:after="120" w:line="240" w:lineRule="auto"/>
        <w:rPr>
          <w:rFonts w:ascii="Century Gothic" w:hAnsi="Century Gothic" w:cs="Arial"/>
        </w:rPr>
      </w:pPr>
      <w:r w:rsidRPr="00400A12">
        <w:rPr>
          <w:rFonts w:ascii="Century Gothic" w:hAnsi="Century Gothic" w:cs="Arial"/>
        </w:rPr>
        <w:t xml:space="preserve">The </w:t>
      </w:r>
      <w:r w:rsidR="00FB5506">
        <w:rPr>
          <w:rFonts w:ascii="Century Gothic" w:hAnsi="Century Gothic" w:cs="Arial"/>
        </w:rPr>
        <w:t>Off-taker</w:t>
      </w:r>
      <w:r w:rsidRPr="00400A12">
        <w:rPr>
          <w:rFonts w:ascii="Century Gothic" w:hAnsi="Century Gothic" w:cs="Arial"/>
        </w:rPr>
        <w:t xml:space="preserve"> must enter into an </w:t>
      </w:r>
      <w:r w:rsidR="004F0D39">
        <w:rPr>
          <w:rFonts w:ascii="Century Gothic" w:hAnsi="Century Gothic" w:cs="Arial"/>
        </w:rPr>
        <w:t xml:space="preserve">Amendment/Addendum to the </w:t>
      </w:r>
      <w:r w:rsidR="00C61FB7">
        <w:rPr>
          <w:rFonts w:ascii="Century Gothic" w:hAnsi="Century Gothic" w:cs="Arial"/>
        </w:rPr>
        <w:t>E</w:t>
      </w:r>
      <w:r w:rsidRPr="00400A12">
        <w:rPr>
          <w:rFonts w:ascii="Century Gothic" w:hAnsi="Century Gothic" w:cs="Arial"/>
        </w:rPr>
        <w:t xml:space="preserve">lectricity </w:t>
      </w:r>
      <w:r w:rsidR="00C61FB7">
        <w:rPr>
          <w:rFonts w:ascii="Century Gothic" w:hAnsi="Century Gothic" w:cs="Arial"/>
        </w:rPr>
        <w:t>S</w:t>
      </w:r>
      <w:r w:rsidRPr="00400A12">
        <w:rPr>
          <w:rFonts w:ascii="Century Gothic" w:hAnsi="Century Gothic" w:cs="Arial"/>
        </w:rPr>
        <w:t xml:space="preserve">upply </w:t>
      </w:r>
      <w:r w:rsidR="00C61FB7">
        <w:rPr>
          <w:rFonts w:ascii="Century Gothic" w:hAnsi="Century Gothic" w:cs="Arial"/>
        </w:rPr>
        <w:t>A</w:t>
      </w:r>
      <w:r w:rsidRPr="00400A12">
        <w:rPr>
          <w:rFonts w:ascii="Century Gothic" w:hAnsi="Century Gothic" w:cs="Arial"/>
        </w:rPr>
        <w:t>greement</w:t>
      </w:r>
      <w:r w:rsidR="00E07F2A">
        <w:rPr>
          <w:rFonts w:ascii="Century Gothic" w:hAnsi="Century Gothic" w:cs="Arial"/>
        </w:rPr>
        <w:t xml:space="preserve"> (ESA)</w:t>
      </w:r>
      <w:r w:rsidRPr="00400A12">
        <w:rPr>
          <w:rFonts w:ascii="Century Gothic" w:hAnsi="Century Gothic" w:cs="Arial"/>
        </w:rPr>
        <w:t xml:space="preserve"> with the Licensee, specifying the terms and conditions of the Wheeled Energy supply and accounting.</w:t>
      </w:r>
    </w:p>
    <w:p w14:paraId="34DEC9B7" w14:textId="0C56AFEB" w:rsidR="00F6577A" w:rsidRDefault="00F6577A" w:rsidP="00871EE8">
      <w:pPr>
        <w:pStyle w:val="BodyText"/>
        <w:numPr>
          <w:ilvl w:val="0"/>
          <w:numId w:val="42"/>
        </w:numPr>
        <w:spacing w:before="120" w:after="120" w:line="240" w:lineRule="auto"/>
        <w:rPr>
          <w:rFonts w:ascii="Century Gothic" w:hAnsi="Century Gothic" w:cs="Arial"/>
        </w:rPr>
      </w:pPr>
      <w:r>
        <w:rPr>
          <w:rFonts w:ascii="Century Gothic" w:hAnsi="Century Gothic" w:cs="Arial"/>
        </w:rPr>
        <w:t xml:space="preserve">The </w:t>
      </w:r>
      <w:r w:rsidR="009910A0">
        <w:rPr>
          <w:rFonts w:ascii="Century Gothic" w:hAnsi="Century Gothic" w:cs="Arial"/>
        </w:rPr>
        <w:t>O</w:t>
      </w:r>
      <w:r>
        <w:rPr>
          <w:rFonts w:ascii="Century Gothic" w:hAnsi="Century Gothic" w:cs="Arial"/>
        </w:rPr>
        <w:t>ff</w:t>
      </w:r>
      <w:r w:rsidR="009910A0">
        <w:rPr>
          <w:rFonts w:ascii="Century Gothic" w:hAnsi="Century Gothic" w:cs="Arial"/>
        </w:rPr>
        <w:t>-</w:t>
      </w:r>
      <w:r w:rsidR="003A5FCE">
        <w:rPr>
          <w:rFonts w:ascii="Century Gothic" w:hAnsi="Century Gothic" w:cs="Arial"/>
        </w:rPr>
        <w:t>t</w:t>
      </w:r>
      <w:r w:rsidR="00692161">
        <w:rPr>
          <w:rFonts w:ascii="Century Gothic" w:hAnsi="Century Gothic" w:cs="Arial"/>
        </w:rPr>
        <w:t>ake</w:t>
      </w:r>
      <w:r w:rsidR="009910A0">
        <w:rPr>
          <w:rFonts w:ascii="Century Gothic" w:hAnsi="Century Gothic" w:cs="Arial"/>
        </w:rPr>
        <w:t>r</w:t>
      </w:r>
      <w:r w:rsidR="00692161">
        <w:rPr>
          <w:rFonts w:ascii="Century Gothic" w:hAnsi="Century Gothic" w:cs="Arial"/>
        </w:rPr>
        <w:t xml:space="preserve"> will also typically sign a </w:t>
      </w:r>
      <w:r w:rsidR="00F504D0">
        <w:rPr>
          <w:rFonts w:ascii="Century Gothic" w:hAnsi="Century Gothic" w:cs="Arial"/>
        </w:rPr>
        <w:t>Power Purchase Agreement</w:t>
      </w:r>
      <w:r w:rsidR="00286F18">
        <w:rPr>
          <w:rFonts w:ascii="Century Gothic" w:hAnsi="Century Gothic" w:cs="Arial"/>
        </w:rPr>
        <w:t xml:space="preserve"> (PPA)</w:t>
      </w:r>
      <w:r w:rsidR="00F504D0">
        <w:rPr>
          <w:rFonts w:ascii="Century Gothic" w:hAnsi="Century Gothic" w:cs="Arial"/>
        </w:rPr>
        <w:t xml:space="preserve"> with the IPP or </w:t>
      </w:r>
      <w:r w:rsidR="00286F18">
        <w:rPr>
          <w:rFonts w:ascii="Century Gothic" w:hAnsi="Century Gothic" w:cs="Arial"/>
        </w:rPr>
        <w:t>Trader.</w:t>
      </w:r>
      <w:r w:rsidR="00ED411E">
        <w:rPr>
          <w:rFonts w:ascii="Century Gothic" w:hAnsi="Century Gothic" w:cs="Arial"/>
        </w:rPr>
        <w:t xml:space="preserve"> Key concepts in this regard are</w:t>
      </w:r>
      <w:r w:rsidR="009910A0">
        <w:rPr>
          <w:rFonts w:ascii="Century Gothic" w:hAnsi="Century Gothic" w:cs="Arial"/>
        </w:rPr>
        <w:t>:</w:t>
      </w:r>
    </w:p>
    <w:p w14:paraId="5762EE78" w14:textId="77777777" w:rsidR="00ED411E" w:rsidRPr="009321BA" w:rsidRDefault="00ED411E" w:rsidP="00871EE8">
      <w:pPr>
        <w:pStyle w:val="ListParagraph"/>
        <w:numPr>
          <w:ilvl w:val="1"/>
          <w:numId w:val="42"/>
        </w:numPr>
        <w:spacing w:beforeLines="100" w:before="240" w:afterLines="100" w:after="240"/>
        <w:contextualSpacing w:val="0"/>
        <w:jc w:val="both"/>
        <w:rPr>
          <w:rFonts w:ascii="Century Gothic" w:hAnsi="Century Gothic"/>
          <w:b/>
          <w:bCs/>
        </w:rPr>
      </w:pPr>
      <w:r w:rsidRPr="00366ED5">
        <w:rPr>
          <w:rFonts w:ascii="Century Gothic" w:hAnsi="Century Gothic"/>
          <w:b/>
          <w:bCs/>
        </w:rPr>
        <w:t xml:space="preserve">A Corporate PPA </w:t>
      </w:r>
      <w:r w:rsidRPr="000B010E">
        <w:rPr>
          <w:rFonts w:ascii="Century Gothic" w:hAnsi="Century Gothic"/>
        </w:rPr>
        <w:t>is a long-term contract that allows a company to buy electricity directly from a generator, either on-site or off-site.</w:t>
      </w:r>
    </w:p>
    <w:p w14:paraId="2465B9DD" w14:textId="74A77ED1" w:rsidR="009321BA" w:rsidRPr="00366ED5" w:rsidRDefault="009321BA" w:rsidP="00871EE8">
      <w:pPr>
        <w:pStyle w:val="ListParagraph"/>
        <w:numPr>
          <w:ilvl w:val="1"/>
          <w:numId w:val="42"/>
        </w:numPr>
        <w:spacing w:beforeLines="100" w:before="240" w:afterLines="100" w:after="240"/>
        <w:contextualSpacing w:val="0"/>
        <w:jc w:val="both"/>
        <w:rPr>
          <w:rFonts w:ascii="Century Gothic" w:hAnsi="Century Gothic"/>
        </w:rPr>
      </w:pPr>
      <w:r w:rsidRPr="002B2864">
        <w:rPr>
          <w:rFonts w:ascii="Century Gothic" w:hAnsi="Century Gothic"/>
          <w:b/>
          <w:bCs/>
        </w:rPr>
        <w:t>A virtual PPA</w:t>
      </w:r>
      <w:r>
        <w:rPr>
          <w:rFonts w:ascii="Century Gothic" w:hAnsi="Century Gothic"/>
        </w:rPr>
        <w:t>:</w:t>
      </w:r>
      <w:r w:rsidRPr="00366ED5">
        <w:rPr>
          <w:rFonts w:ascii="Century Gothic" w:hAnsi="Century Gothic"/>
        </w:rPr>
        <w:t xml:space="preserve"> is a type of corporate PPA where the renewable energy generator and the corporate energy consumer do not physically exchange electricity. Instead, the renewable energy generator sells the energy generated into the wholesale electricity market, and the corporate energy consumer </w:t>
      </w:r>
      <w:bookmarkStart w:id="23" w:name="_Hlk130224886"/>
      <w:r w:rsidRPr="00366ED5">
        <w:rPr>
          <w:rFonts w:ascii="Century Gothic" w:hAnsi="Century Gothic"/>
        </w:rPr>
        <w:t xml:space="preserve">purchases </w:t>
      </w:r>
      <w:r w:rsidR="009E3EDF" w:rsidRPr="00366ED5">
        <w:rPr>
          <w:rFonts w:ascii="Century Gothic" w:hAnsi="Century Gothic"/>
        </w:rPr>
        <w:t xml:space="preserve">Renewable Energy Credits </w:t>
      </w:r>
      <w:r w:rsidRPr="00366ED5">
        <w:rPr>
          <w:rFonts w:ascii="Century Gothic" w:hAnsi="Century Gothic"/>
        </w:rPr>
        <w:t xml:space="preserve">(RECs) or </w:t>
      </w:r>
      <w:r w:rsidR="009E3EDF" w:rsidRPr="00366ED5">
        <w:rPr>
          <w:rFonts w:ascii="Century Gothic" w:hAnsi="Century Gothic"/>
        </w:rPr>
        <w:t xml:space="preserve">Guarantees </w:t>
      </w:r>
      <w:r w:rsidR="009E3EDF">
        <w:rPr>
          <w:rFonts w:ascii="Century Gothic" w:hAnsi="Century Gothic"/>
        </w:rPr>
        <w:t>of</w:t>
      </w:r>
      <w:r w:rsidR="009E3EDF" w:rsidRPr="00366ED5">
        <w:rPr>
          <w:rFonts w:ascii="Century Gothic" w:hAnsi="Century Gothic"/>
        </w:rPr>
        <w:t xml:space="preserve"> Origin </w:t>
      </w:r>
      <w:r w:rsidRPr="00366ED5">
        <w:rPr>
          <w:rFonts w:ascii="Century Gothic" w:hAnsi="Century Gothic"/>
        </w:rPr>
        <w:t>(GOOs</w:t>
      </w:r>
      <w:bookmarkEnd w:id="23"/>
      <w:r w:rsidRPr="00366ED5">
        <w:rPr>
          <w:rFonts w:ascii="Century Gothic" w:hAnsi="Century Gothic"/>
        </w:rPr>
        <w:t>) from the generator. The corporate energy consumer can then use these RECs or GOOs to meet their own renewable energy targets or offset their carbon emissions.</w:t>
      </w:r>
    </w:p>
    <w:p w14:paraId="0D79EA3C" w14:textId="74D2812F" w:rsidR="00ED411E" w:rsidRPr="000D3464" w:rsidRDefault="00EB7CD5" w:rsidP="00871EE8">
      <w:pPr>
        <w:pStyle w:val="ListParagraph"/>
        <w:numPr>
          <w:ilvl w:val="1"/>
          <w:numId w:val="42"/>
        </w:numPr>
        <w:spacing w:beforeLines="100" w:before="240" w:afterLines="100" w:after="240"/>
        <w:contextualSpacing w:val="0"/>
        <w:jc w:val="both"/>
        <w:rPr>
          <w:rFonts w:ascii="Century Gothic" w:hAnsi="Century Gothic"/>
        </w:rPr>
      </w:pPr>
      <w:r w:rsidRPr="002B2864">
        <w:rPr>
          <w:rFonts w:ascii="Century Gothic" w:hAnsi="Century Gothic"/>
          <w:b/>
          <w:bCs/>
        </w:rPr>
        <w:t>A sleeved PPA</w:t>
      </w:r>
      <w:r w:rsidRPr="00366ED5">
        <w:rPr>
          <w:rFonts w:ascii="Century Gothic" w:hAnsi="Century Gothic"/>
        </w:rPr>
        <w:t xml:space="preserve"> is similar to a virtual PPA, but the difference is that the renewable energy generated is not sold into the wholesale electricity market. Instead, a third-party intermediary, known as a "sleeve provider," (also know</w:t>
      </w:r>
      <w:r>
        <w:rPr>
          <w:rFonts w:ascii="Century Gothic" w:hAnsi="Century Gothic"/>
        </w:rPr>
        <w:t>n</w:t>
      </w:r>
      <w:r w:rsidRPr="00366ED5">
        <w:rPr>
          <w:rFonts w:ascii="Century Gothic" w:hAnsi="Century Gothic"/>
        </w:rPr>
        <w:t xml:space="preserve"> as an energy trader or retailer) purchases the energy generated by the renewable energy system and sells it to the corporate energy consumer. The sleeve provider acts as an intermediary between the generator and the corporate energy consumer, facilitating the transaction and taking on the risk associated with the fluctuating wholesale energy market prices.</w:t>
      </w:r>
    </w:p>
    <w:p w14:paraId="423AF185" w14:textId="77777777" w:rsidR="00EC58DD" w:rsidRPr="00400A12" w:rsidRDefault="00EC58DD" w:rsidP="00871EE8">
      <w:pPr>
        <w:pStyle w:val="BodyText"/>
        <w:numPr>
          <w:ilvl w:val="0"/>
          <w:numId w:val="14"/>
        </w:numPr>
        <w:rPr>
          <w:rFonts w:ascii="Century Gothic" w:hAnsi="Century Gothic" w:cs="Arial"/>
        </w:rPr>
      </w:pPr>
      <w:r w:rsidRPr="00400A12">
        <w:rPr>
          <w:rFonts w:ascii="Century Gothic" w:hAnsi="Century Gothic" w:cs="Arial"/>
        </w:rPr>
        <w:t>Agreement with an Intermediary (Trader or Corporate Entity):</w:t>
      </w:r>
    </w:p>
    <w:p w14:paraId="6A50518E" w14:textId="58B91DD2" w:rsidR="00EC58DD" w:rsidRPr="00400A12" w:rsidRDefault="00EC58DD" w:rsidP="00871EE8">
      <w:pPr>
        <w:pStyle w:val="BodyText"/>
        <w:numPr>
          <w:ilvl w:val="0"/>
          <w:numId w:val="42"/>
        </w:numPr>
        <w:spacing w:before="120" w:after="120" w:line="240" w:lineRule="auto"/>
        <w:rPr>
          <w:rFonts w:ascii="Century Gothic" w:hAnsi="Century Gothic" w:cs="Arial"/>
        </w:rPr>
      </w:pPr>
      <w:r w:rsidRPr="00400A12">
        <w:rPr>
          <w:rFonts w:ascii="Century Gothic" w:hAnsi="Century Gothic" w:cs="Arial"/>
        </w:rPr>
        <w:t xml:space="preserve">If the Buyer is a Trader or Corporate Entity, the Licensee </w:t>
      </w:r>
      <w:r w:rsidR="00602745">
        <w:rPr>
          <w:rFonts w:ascii="Century Gothic" w:hAnsi="Century Gothic" w:cs="Arial"/>
        </w:rPr>
        <w:t xml:space="preserve">and </w:t>
      </w:r>
      <w:r w:rsidR="00935DA9">
        <w:rPr>
          <w:rFonts w:ascii="Century Gothic" w:hAnsi="Century Gothic" w:cs="Arial"/>
        </w:rPr>
        <w:t>off</w:t>
      </w:r>
      <w:r w:rsidR="00073B4D">
        <w:rPr>
          <w:rFonts w:ascii="Century Gothic" w:hAnsi="Century Gothic" w:cs="Arial"/>
        </w:rPr>
        <w:t>-</w:t>
      </w:r>
      <w:r w:rsidR="00935DA9">
        <w:rPr>
          <w:rFonts w:ascii="Century Gothic" w:hAnsi="Century Gothic" w:cs="Arial"/>
        </w:rPr>
        <w:t xml:space="preserve">taker </w:t>
      </w:r>
      <w:r w:rsidRPr="00400A12">
        <w:rPr>
          <w:rFonts w:ascii="Century Gothic" w:hAnsi="Century Gothic" w:cs="Arial"/>
        </w:rPr>
        <w:t>may choose to contract with them.</w:t>
      </w:r>
    </w:p>
    <w:p w14:paraId="2655B76A" w14:textId="77777777" w:rsidR="00EC58DD" w:rsidRPr="00400A12" w:rsidRDefault="00EC58DD" w:rsidP="00871EE8">
      <w:pPr>
        <w:pStyle w:val="BodyText"/>
        <w:numPr>
          <w:ilvl w:val="0"/>
          <w:numId w:val="14"/>
        </w:numPr>
        <w:rPr>
          <w:rFonts w:ascii="Century Gothic" w:hAnsi="Century Gothic" w:cs="Arial"/>
        </w:rPr>
      </w:pPr>
      <w:r w:rsidRPr="00400A12">
        <w:rPr>
          <w:rFonts w:ascii="Century Gothic" w:hAnsi="Century Gothic" w:cs="Arial"/>
        </w:rPr>
        <w:lastRenderedPageBreak/>
        <w:t>Agreement between Transmission and Distribution Licensees:</w:t>
      </w:r>
    </w:p>
    <w:p w14:paraId="416A1687" w14:textId="77777777" w:rsidR="00EC58DD" w:rsidRPr="00400A12" w:rsidRDefault="00EC58DD" w:rsidP="00871EE8">
      <w:pPr>
        <w:pStyle w:val="BodyText"/>
        <w:numPr>
          <w:ilvl w:val="0"/>
          <w:numId w:val="42"/>
        </w:numPr>
        <w:spacing w:before="120" w:after="120" w:line="240" w:lineRule="auto"/>
        <w:rPr>
          <w:rFonts w:ascii="Century Gothic" w:hAnsi="Century Gothic" w:cs="Arial"/>
        </w:rPr>
      </w:pPr>
      <w:r w:rsidRPr="00400A12">
        <w:rPr>
          <w:rFonts w:ascii="Century Gothic" w:hAnsi="Century Gothic" w:cs="Arial"/>
        </w:rPr>
        <w:t>In cases where wheeling occurs across both transmission and distribution networks, an agreement between the two Licensees is necessary.</w:t>
      </w:r>
    </w:p>
    <w:p w14:paraId="1DEF1BA7" w14:textId="77777777" w:rsidR="00EC58DD" w:rsidRPr="00400A12" w:rsidRDefault="00EC58DD" w:rsidP="00871EE8">
      <w:pPr>
        <w:pStyle w:val="BodyText"/>
        <w:numPr>
          <w:ilvl w:val="0"/>
          <w:numId w:val="42"/>
        </w:numPr>
        <w:spacing w:before="120" w:after="120" w:line="240" w:lineRule="auto"/>
        <w:rPr>
          <w:rFonts w:ascii="Century Gothic" w:hAnsi="Century Gothic" w:cs="Arial"/>
        </w:rPr>
      </w:pPr>
      <w:r w:rsidRPr="00400A12">
        <w:rPr>
          <w:rFonts w:ascii="Century Gothic" w:hAnsi="Century Gothic" w:cs="Arial"/>
        </w:rPr>
        <w:t>This agreement acknowledges the wheeling from a generator connected to the transmission network and a customer connected to the distribution network.</w:t>
      </w:r>
    </w:p>
    <w:p w14:paraId="79048AA4" w14:textId="43808CB8" w:rsidR="00EC58DD" w:rsidRPr="00400A12" w:rsidRDefault="00EC58DD" w:rsidP="00871EE8">
      <w:pPr>
        <w:pStyle w:val="BodyText"/>
        <w:numPr>
          <w:ilvl w:val="0"/>
          <w:numId w:val="42"/>
        </w:numPr>
        <w:spacing w:before="120" w:after="120" w:line="240" w:lineRule="auto"/>
        <w:rPr>
          <w:rFonts w:ascii="Century Gothic" w:hAnsi="Century Gothic" w:cs="Arial"/>
        </w:rPr>
      </w:pPr>
      <w:r w:rsidRPr="00400A12">
        <w:rPr>
          <w:rFonts w:ascii="Century Gothic" w:hAnsi="Century Gothic" w:cs="Arial"/>
        </w:rPr>
        <w:t xml:space="preserve">Both Licensees may need to share metering and billing information with the generator and the </w:t>
      </w:r>
      <w:r w:rsidR="00014B88">
        <w:rPr>
          <w:rFonts w:ascii="Century Gothic" w:hAnsi="Century Gothic" w:cs="Arial"/>
        </w:rPr>
        <w:t>Off taker</w:t>
      </w:r>
      <w:r w:rsidRPr="00400A12">
        <w:rPr>
          <w:rFonts w:ascii="Century Gothic" w:hAnsi="Century Gothic" w:cs="Arial"/>
        </w:rPr>
        <w:t xml:space="preserve"> to facilitate the reconciliation of the Wheeling Credit/Tariff.</w:t>
      </w:r>
    </w:p>
    <w:p w14:paraId="3E479F87" w14:textId="14935DAB" w:rsidR="00EC58DD" w:rsidRDefault="00EC58DD" w:rsidP="00871EE8">
      <w:pPr>
        <w:pStyle w:val="BodyText"/>
        <w:numPr>
          <w:ilvl w:val="0"/>
          <w:numId w:val="42"/>
        </w:numPr>
        <w:spacing w:before="120" w:after="120" w:line="240" w:lineRule="auto"/>
        <w:rPr>
          <w:rFonts w:ascii="Century Gothic" w:hAnsi="Century Gothic" w:cs="Arial"/>
        </w:rPr>
      </w:pPr>
      <w:r w:rsidRPr="00400A12">
        <w:rPr>
          <w:rFonts w:ascii="Century Gothic" w:hAnsi="Century Gothic" w:cs="Arial"/>
        </w:rPr>
        <w:t>These agreements ensure compliance, establish responsibilities, and enable proper tracking, billing, and reconciliation processes for the third-party wheeling transaction.</w:t>
      </w:r>
    </w:p>
    <w:p w14:paraId="0D60D70B" w14:textId="13501DFE" w:rsidR="00553993" w:rsidRDefault="00553993" w:rsidP="00871EE8">
      <w:pPr>
        <w:pStyle w:val="BodyText"/>
        <w:numPr>
          <w:ilvl w:val="0"/>
          <w:numId w:val="42"/>
        </w:numPr>
        <w:spacing w:before="120" w:after="120" w:line="240" w:lineRule="auto"/>
        <w:rPr>
          <w:rFonts w:ascii="Century Gothic" w:hAnsi="Century Gothic" w:cs="Arial"/>
        </w:rPr>
      </w:pPr>
      <w:r>
        <w:rPr>
          <w:rFonts w:ascii="Century Gothic" w:hAnsi="Century Gothic" w:cs="Arial"/>
        </w:rPr>
        <w:t xml:space="preserve">This also </w:t>
      </w:r>
      <w:r w:rsidR="006E1CBE">
        <w:rPr>
          <w:rFonts w:ascii="Century Gothic" w:hAnsi="Century Gothic" w:cs="Arial"/>
        </w:rPr>
        <w:t>known</w:t>
      </w:r>
      <w:r>
        <w:rPr>
          <w:rFonts w:ascii="Century Gothic" w:hAnsi="Century Gothic" w:cs="Arial"/>
        </w:rPr>
        <w:t xml:space="preserve"> as the </w:t>
      </w:r>
      <w:r w:rsidR="006E1CBE">
        <w:rPr>
          <w:rFonts w:ascii="Century Gothic" w:hAnsi="Century Gothic" w:cs="Arial"/>
        </w:rPr>
        <w:t>Amended</w:t>
      </w:r>
      <w:r w:rsidR="000C455E">
        <w:rPr>
          <w:rFonts w:ascii="Century Gothic" w:hAnsi="Century Gothic" w:cs="Arial"/>
        </w:rPr>
        <w:t xml:space="preserve"> Supply</w:t>
      </w:r>
      <w:r w:rsidRPr="00553993">
        <w:rPr>
          <w:rFonts w:ascii="Century Gothic" w:hAnsi="Century Gothic" w:cs="Arial"/>
        </w:rPr>
        <w:t xml:space="preserve"> Agreement </w:t>
      </w:r>
      <w:r w:rsidR="006E1CBE">
        <w:rPr>
          <w:rFonts w:ascii="Century Gothic" w:hAnsi="Century Gothic" w:cs="Arial"/>
        </w:rPr>
        <w:t xml:space="preserve">between the </w:t>
      </w:r>
      <w:r w:rsidR="006E1CBE" w:rsidRPr="00400A12">
        <w:rPr>
          <w:rFonts w:ascii="Century Gothic" w:hAnsi="Century Gothic" w:cs="Arial"/>
        </w:rPr>
        <w:t>Transmission and Distribution Licensees</w:t>
      </w:r>
      <w:r w:rsidR="006E1CBE">
        <w:rPr>
          <w:rFonts w:ascii="Century Gothic" w:hAnsi="Century Gothic" w:cs="Arial"/>
        </w:rPr>
        <w:t>.</w:t>
      </w:r>
    </w:p>
    <w:p w14:paraId="687A83EB" w14:textId="36BE31C6" w:rsidR="00DC09AA" w:rsidRDefault="006E1CBE" w:rsidP="00DC09AA">
      <w:pPr>
        <w:pStyle w:val="BodyText"/>
        <w:rPr>
          <w:rFonts w:ascii="Century Gothic" w:hAnsi="Century Gothic" w:cs="Arial"/>
        </w:rPr>
      </w:pPr>
      <w:r>
        <w:rPr>
          <w:rFonts w:ascii="Century Gothic" w:hAnsi="Century Gothic" w:cs="Arial"/>
        </w:rPr>
        <w:t xml:space="preserve">The </w:t>
      </w:r>
      <w:r w:rsidR="00214F71">
        <w:rPr>
          <w:rFonts w:ascii="Century Gothic" w:hAnsi="Century Gothic" w:cs="Arial"/>
        </w:rPr>
        <w:t>scenarios</w:t>
      </w:r>
      <w:r>
        <w:rPr>
          <w:rFonts w:ascii="Century Gothic" w:hAnsi="Century Gothic" w:cs="Arial"/>
        </w:rPr>
        <w:t xml:space="preserve"> section deals with additional graphical guidance on how the vari</w:t>
      </w:r>
      <w:r w:rsidR="00771CE2">
        <w:rPr>
          <w:rFonts w:ascii="Century Gothic" w:hAnsi="Century Gothic" w:cs="Arial"/>
        </w:rPr>
        <w:t>o</w:t>
      </w:r>
      <w:r>
        <w:rPr>
          <w:rFonts w:ascii="Century Gothic" w:hAnsi="Century Gothic" w:cs="Arial"/>
        </w:rPr>
        <w:t>us contracts explained above work</w:t>
      </w:r>
      <w:r w:rsidR="00214F71">
        <w:rPr>
          <w:rFonts w:ascii="Century Gothic" w:hAnsi="Century Gothic" w:cs="Arial"/>
        </w:rPr>
        <w:t xml:space="preserve"> practically.</w:t>
      </w:r>
      <w:r w:rsidR="00165E8C">
        <w:rPr>
          <w:rFonts w:ascii="Century Gothic" w:hAnsi="Century Gothic" w:cs="Arial"/>
        </w:rPr>
        <w:t xml:space="preserve"> </w:t>
      </w:r>
      <w:r w:rsidR="00DC09AA">
        <w:rPr>
          <w:rFonts w:ascii="Century Gothic" w:hAnsi="Century Gothic" w:cs="Arial"/>
        </w:rPr>
        <w:t xml:space="preserve">In </w:t>
      </w:r>
      <w:r w:rsidR="007215CB">
        <w:rPr>
          <w:rFonts w:ascii="Century Gothic" w:hAnsi="Century Gothic" w:cs="Arial"/>
        </w:rPr>
        <w:t>addition,</w:t>
      </w:r>
      <w:r w:rsidR="00DC09AA">
        <w:rPr>
          <w:rFonts w:ascii="Century Gothic" w:hAnsi="Century Gothic" w:cs="Arial"/>
        </w:rPr>
        <w:t xml:space="preserve"> below is guidance on the various agreements and estimated timelines. </w:t>
      </w:r>
      <w:r w:rsidR="00DC09AA" w:rsidRPr="00D30305">
        <w:rPr>
          <w:rFonts w:ascii="Century Gothic" w:hAnsi="Century Gothic" w:cs="Arial"/>
        </w:rPr>
        <w:t>Please note that the timeframes mentioned are general estimates and can vary depending on the specific circumstances, regulatory frameworks, and complexities involved in each agreement. It is essential to consult with legal professionals and stakeholders involved to determine realistic timelines for concluding wheeling agreements in your specific context.</w:t>
      </w:r>
    </w:p>
    <w:tbl>
      <w:tblPr>
        <w:tblW w:w="8926" w:type="dxa"/>
        <w:tblLook w:val="04A0" w:firstRow="1" w:lastRow="0" w:firstColumn="1" w:lastColumn="0" w:noHBand="0" w:noVBand="1"/>
      </w:tblPr>
      <w:tblGrid>
        <w:gridCol w:w="1702"/>
        <w:gridCol w:w="4672"/>
        <w:gridCol w:w="2552"/>
      </w:tblGrid>
      <w:tr w:rsidR="00DC09AA" w:rsidRPr="00D30305" w14:paraId="119C331C" w14:textId="77777777" w:rsidTr="00831A39">
        <w:trPr>
          <w:trHeight w:val="430"/>
        </w:trPr>
        <w:tc>
          <w:tcPr>
            <w:tcW w:w="1702" w:type="dxa"/>
            <w:tcBorders>
              <w:top w:val="single" w:sz="4" w:space="0" w:color="auto"/>
              <w:left w:val="single" w:sz="4" w:space="0" w:color="auto"/>
              <w:bottom w:val="nil"/>
              <w:right w:val="nil"/>
            </w:tcBorders>
            <w:shd w:val="clear" w:color="auto" w:fill="D9D9D9" w:themeFill="background1" w:themeFillShade="D9"/>
            <w:noWrap/>
            <w:vAlign w:val="center"/>
            <w:hideMark/>
          </w:tcPr>
          <w:p w14:paraId="3F23BF4A" w14:textId="77777777" w:rsidR="00DC09AA" w:rsidRPr="007228A6" w:rsidRDefault="00DC09AA" w:rsidP="00DC09AA">
            <w:pPr>
              <w:spacing w:after="0" w:line="240" w:lineRule="auto"/>
              <w:jc w:val="center"/>
              <w:rPr>
                <w:rFonts w:ascii="Century Gothic" w:eastAsia="Times New Roman" w:hAnsi="Century Gothic" w:cs="Calibri"/>
                <w:b/>
                <w:color w:val="000000"/>
                <w:sz w:val="18"/>
                <w:szCs w:val="18"/>
              </w:rPr>
            </w:pPr>
            <w:r w:rsidRPr="007228A6">
              <w:rPr>
                <w:rFonts w:ascii="Century Gothic" w:eastAsia="Times New Roman" w:hAnsi="Century Gothic" w:cs="Calibri"/>
                <w:b/>
                <w:color w:val="000000"/>
                <w:sz w:val="18"/>
                <w:szCs w:val="18"/>
              </w:rPr>
              <w:t>Agreement</w:t>
            </w:r>
          </w:p>
        </w:tc>
        <w:tc>
          <w:tcPr>
            <w:tcW w:w="467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96E4975" w14:textId="77777777" w:rsidR="00DC09AA" w:rsidRPr="007228A6" w:rsidRDefault="00DC09AA" w:rsidP="00DC09AA">
            <w:pPr>
              <w:spacing w:after="0" w:line="240" w:lineRule="auto"/>
              <w:jc w:val="center"/>
              <w:rPr>
                <w:rFonts w:ascii="Century Gothic" w:eastAsia="Times New Roman" w:hAnsi="Century Gothic" w:cs="Calibri"/>
                <w:b/>
                <w:color w:val="000000"/>
                <w:sz w:val="18"/>
                <w:szCs w:val="18"/>
              </w:rPr>
            </w:pPr>
            <w:r w:rsidRPr="007228A6">
              <w:rPr>
                <w:rFonts w:ascii="Century Gothic" w:eastAsia="Times New Roman" w:hAnsi="Century Gothic" w:cs="Calibri"/>
                <w:b/>
                <w:color w:val="000000"/>
                <w:sz w:val="18"/>
                <w:szCs w:val="18"/>
              </w:rPr>
              <w:t>Guidelines:</w:t>
            </w:r>
          </w:p>
        </w:tc>
        <w:tc>
          <w:tcPr>
            <w:tcW w:w="2552" w:type="dxa"/>
            <w:tcBorders>
              <w:top w:val="single" w:sz="4" w:space="0" w:color="auto"/>
              <w:left w:val="nil"/>
              <w:bottom w:val="nil"/>
              <w:right w:val="single" w:sz="4" w:space="0" w:color="auto"/>
            </w:tcBorders>
            <w:shd w:val="clear" w:color="auto" w:fill="D9D9D9" w:themeFill="background1" w:themeFillShade="D9"/>
            <w:noWrap/>
            <w:vAlign w:val="center"/>
            <w:hideMark/>
          </w:tcPr>
          <w:p w14:paraId="7704E398" w14:textId="77777777" w:rsidR="00DC09AA" w:rsidRPr="007228A6" w:rsidRDefault="00DC09AA" w:rsidP="00DC09AA">
            <w:pPr>
              <w:spacing w:after="0" w:line="240" w:lineRule="auto"/>
              <w:jc w:val="center"/>
              <w:rPr>
                <w:rFonts w:ascii="Century Gothic" w:eastAsia="Times New Roman" w:hAnsi="Century Gothic" w:cs="Calibri"/>
                <w:b/>
                <w:color w:val="000000"/>
                <w:sz w:val="18"/>
                <w:szCs w:val="18"/>
              </w:rPr>
            </w:pPr>
            <w:r w:rsidRPr="007228A6">
              <w:rPr>
                <w:rFonts w:ascii="Century Gothic" w:eastAsia="Times New Roman" w:hAnsi="Century Gothic" w:cs="Calibri"/>
                <w:b/>
                <w:color w:val="000000"/>
                <w:sz w:val="18"/>
                <w:szCs w:val="18"/>
              </w:rPr>
              <w:t>Timeframe:</w:t>
            </w:r>
          </w:p>
        </w:tc>
      </w:tr>
      <w:tr w:rsidR="00DC09AA" w:rsidRPr="00D30305" w14:paraId="18A1B027" w14:textId="77777777" w:rsidTr="00831A39">
        <w:trPr>
          <w:trHeight w:val="600"/>
        </w:trPr>
        <w:tc>
          <w:tcPr>
            <w:tcW w:w="1702" w:type="dxa"/>
            <w:vMerge w:val="restart"/>
            <w:tcBorders>
              <w:top w:val="single" w:sz="4" w:space="0" w:color="auto"/>
              <w:left w:val="single" w:sz="4" w:space="0" w:color="auto"/>
              <w:bottom w:val="single" w:sz="4" w:space="0" w:color="000000"/>
              <w:right w:val="nil"/>
            </w:tcBorders>
            <w:shd w:val="clear" w:color="auto" w:fill="D9D9D9" w:themeFill="background1" w:themeFillShade="D9"/>
            <w:vAlign w:val="center"/>
            <w:hideMark/>
          </w:tcPr>
          <w:p w14:paraId="30617A70" w14:textId="77777777" w:rsidR="00DC09AA" w:rsidRPr="007228A6" w:rsidRDefault="00DC09AA" w:rsidP="00DC09AA">
            <w:pPr>
              <w:spacing w:after="0" w:line="240" w:lineRule="auto"/>
              <w:jc w:val="center"/>
              <w:rPr>
                <w:rFonts w:ascii="Century Gothic" w:eastAsia="Times New Roman" w:hAnsi="Century Gothic" w:cs="Calibri"/>
                <w:color w:val="000000"/>
                <w:sz w:val="18"/>
                <w:szCs w:val="18"/>
              </w:rPr>
            </w:pPr>
            <w:r w:rsidRPr="007228A6">
              <w:rPr>
                <w:rFonts w:ascii="Century Gothic" w:eastAsia="Times New Roman" w:hAnsi="Century Gothic" w:cs="Calibri"/>
                <w:color w:val="000000"/>
                <w:sz w:val="18"/>
                <w:szCs w:val="18"/>
              </w:rPr>
              <w:t>Agreement with the Generator:</w:t>
            </w:r>
          </w:p>
        </w:tc>
        <w:tc>
          <w:tcPr>
            <w:tcW w:w="4672" w:type="dxa"/>
            <w:tcBorders>
              <w:top w:val="nil"/>
              <w:left w:val="single" w:sz="4" w:space="0" w:color="auto"/>
              <w:bottom w:val="single" w:sz="4" w:space="0" w:color="auto"/>
              <w:right w:val="single" w:sz="4" w:space="0" w:color="auto"/>
            </w:tcBorders>
            <w:shd w:val="clear" w:color="auto" w:fill="auto"/>
            <w:hideMark/>
          </w:tcPr>
          <w:p w14:paraId="26A2D62F" w14:textId="77777777" w:rsidR="00DC09AA" w:rsidRPr="007228A6" w:rsidRDefault="00DC09AA" w:rsidP="00DC09AA">
            <w:pPr>
              <w:spacing w:after="0" w:line="240" w:lineRule="auto"/>
              <w:rPr>
                <w:rFonts w:ascii="Century Gothic" w:eastAsia="Times New Roman" w:hAnsi="Century Gothic" w:cs="Calibri"/>
                <w:color w:val="000000"/>
                <w:sz w:val="18"/>
                <w:szCs w:val="18"/>
              </w:rPr>
            </w:pPr>
            <w:r w:rsidRPr="007228A6">
              <w:rPr>
                <w:rFonts w:ascii="Century Gothic" w:eastAsia="Times New Roman" w:hAnsi="Century Gothic" w:cs="Calibri"/>
                <w:color w:val="000000"/>
                <w:sz w:val="18"/>
                <w:szCs w:val="18"/>
              </w:rPr>
              <w:t>Define the terms and conditions for the generator to wheel electricity to a specific location or off-taker.</w:t>
            </w:r>
          </w:p>
        </w:tc>
        <w:tc>
          <w:tcPr>
            <w:tcW w:w="2552" w:type="dxa"/>
            <w:vMerge w:val="restart"/>
            <w:tcBorders>
              <w:top w:val="single" w:sz="4" w:space="0" w:color="auto"/>
              <w:left w:val="nil"/>
              <w:bottom w:val="single" w:sz="4" w:space="0" w:color="000000"/>
              <w:right w:val="single" w:sz="4" w:space="0" w:color="auto"/>
            </w:tcBorders>
            <w:shd w:val="clear" w:color="auto" w:fill="auto"/>
            <w:hideMark/>
          </w:tcPr>
          <w:p w14:paraId="4FFF8517" w14:textId="36DF10BC" w:rsidR="00DC09AA" w:rsidRPr="007228A6" w:rsidRDefault="00DC09AA" w:rsidP="00DC09AA">
            <w:pPr>
              <w:spacing w:after="0" w:line="240" w:lineRule="auto"/>
              <w:rPr>
                <w:rFonts w:ascii="Century Gothic" w:eastAsia="Times New Roman" w:hAnsi="Century Gothic" w:cs="Calibri"/>
                <w:color w:val="000000"/>
                <w:sz w:val="18"/>
                <w:szCs w:val="18"/>
              </w:rPr>
            </w:pPr>
            <w:r w:rsidRPr="007228A6">
              <w:rPr>
                <w:rFonts w:ascii="Century Gothic" w:eastAsia="Times New Roman" w:hAnsi="Century Gothic" w:cs="Calibri"/>
                <w:color w:val="000000"/>
                <w:sz w:val="18"/>
                <w:szCs w:val="18"/>
              </w:rPr>
              <w:t>The negotiation and drafting of the agreement with the generator can typically take several weeks to a few months, depending on the complexity of the project, the availability of both parties, and any necessary regulatory approvals.</w:t>
            </w:r>
            <w:r>
              <w:rPr>
                <w:rFonts w:ascii="Century Gothic" w:eastAsia="Times New Roman" w:hAnsi="Century Gothic" w:cs="Calibri"/>
                <w:color w:val="000000"/>
                <w:sz w:val="18"/>
                <w:szCs w:val="18"/>
              </w:rPr>
              <w:t xml:space="preserve"> The aim should be to finalise the agreement in 4 to 8 weeks</w:t>
            </w:r>
            <w:r w:rsidR="00EC7A47">
              <w:rPr>
                <w:rFonts w:ascii="Century Gothic" w:eastAsia="Times New Roman" w:hAnsi="Century Gothic" w:cs="Calibri"/>
                <w:color w:val="000000"/>
                <w:sz w:val="18"/>
                <w:szCs w:val="18"/>
              </w:rPr>
              <w:t>.</w:t>
            </w:r>
          </w:p>
        </w:tc>
      </w:tr>
      <w:tr w:rsidR="00DC09AA" w:rsidRPr="00D30305" w14:paraId="3EB99AE0" w14:textId="77777777" w:rsidTr="00831A39">
        <w:trPr>
          <w:trHeight w:val="600"/>
        </w:trPr>
        <w:tc>
          <w:tcPr>
            <w:tcW w:w="1702" w:type="dxa"/>
            <w:vMerge/>
            <w:tcBorders>
              <w:top w:val="single" w:sz="4" w:space="0" w:color="auto"/>
              <w:left w:val="single" w:sz="4" w:space="0" w:color="auto"/>
              <w:bottom w:val="single" w:sz="4" w:space="0" w:color="000000"/>
              <w:right w:val="nil"/>
            </w:tcBorders>
            <w:shd w:val="clear" w:color="auto" w:fill="D9D9D9" w:themeFill="background1" w:themeFillShade="D9"/>
            <w:vAlign w:val="center"/>
            <w:hideMark/>
          </w:tcPr>
          <w:p w14:paraId="0DEF981F" w14:textId="77777777" w:rsidR="00DC09AA" w:rsidRPr="007228A6" w:rsidRDefault="00DC09AA" w:rsidP="00DC09AA">
            <w:pPr>
              <w:spacing w:after="0" w:line="240" w:lineRule="auto"/>
              <w:rPr>
                <w:rFonts w:ascii="Century Gothic" w:eastAsia="Times New Roman" w:hAnsi="Century Gothic" w:cs="Calibri"/>
                <w:color w:val="000000"/>
                <w:sz w:val="18"/>
                <w:szCs w:val="18"/>
              </w:rPr>
            </w:pPr>
          </w:p>
        </w:tc>
        <w:tc>
          <w:tcPr>
            <w:tcW w:w="4672" w:type="dxa"/>
            <w:tcBorders>
              <w:top w:val="nil"/>
              <w:left w:val="single" w:sz="4" w:space="0" w:color="auto"/>
              <w:bottom w:val="single" w:sz="4" w:space="0" w:color="auto"/>
              <w:right w:val="single" w:sz="4" w:space="0" w:color="auto"/>
            </w:tcBorders>
            <w:shd w:val="clear" w:color="auto" w:fill="auto"/>
            <w:hideMark/>
          </w:tcPr>
          <w:p w14:paraId="3BAB8978" w14:textId="77777777" w:rsidR="00DC09AA" w:rsidRPr="007228A6" w:rsidRDefault="00DC09AA" w:rsidP="00DC09AA">
            <w:pPr>
              <w:spacing w:after="0" w:line="240" w:lineRule="auto"/>
              <w:rPr>
                <w:rFonts w:ascii="Century Gothic" w:eastAsia="Times New Roman" w:hAnsi="Century Gothic" w:cs="Calibri"/>
                <w:color w:val="000000"/>
                <w:sz w:val="18"/>
                <w:szCs w:val="18"/>
              </w:rPr>
            </w:pPr>
            <w:r w:rsidRPr="007228A6">
              <w:rPr>
                <w:rFonts w:ascii="Century Gothic" w:eastAsia="Times New Roman" w:hAnsi="Century Gothic" w:cs="Calibri"/>
                <w:color w:val="000000"/>
                <w:sz w:val="18"/>
                <w:szCs w:val="18"/>
              </w:rPr>
              <w:t>Specify the wheeling charges, payment terms, and invoicing procedures.</w:t>
            </w:r>
          </w:p>
        </w:tc>
        <w:tc>
          <w:tcPr>
            <w:tcW w:w="2552" w:type="dxa"/>
            <w:vMerge/>
            <w:tcBorders>
              <w:top w:val="single" w:sz="4" w:space="0" w:color="auto"/>
              <w:left w:val="nil"/>
              <w:bottom w:val="single" w:sz="4" w:space="0" w:color="000000"/>
              <w:right w:val="single" w:sz="4" w:space="0" w:color="auto"/>
            </w:tcBorders>
            <w:shd w:val="clear" w:color="auto" w:fill="auto"/>
            <w:vAlign w:val="center"/>
            <w:hideMark/>
          </w:tcPr>
          <w:p w14:paraId="3EC5A0E1" w14:textId="77777777" w:rsidR="00DC09AA" w:rsidRPr="007228A6" w:rsidRDefault="00DC09AA" w:rsidP="00DC09AA">
            <w:pPr>
              <w:spacing w:after="0" w:line="240" w:lineRule="auto"/>
              <w:rPr>
                <w:rFonts w:ascii="Century Gothic" w:eastAsia="Times New Roman" w:hAnsi="Century Gothic" w:cs="Calibri"/>
                <w:color w:val="000000"/>
                <w:sz w:val="18"/>
                <w:szCs w:val="18"/>
              </w:rPr>
            </w:pPr>
          </w:p>
        </w:tc>
      </w:tr>
      <w:tr w:rsidR="00DC09AA" w:rsidRPr="00D30305" w14:paraId="1087AB77" w14:textId="77777777" w:rsidTr="00831A39">
        <w:trPr>
          <w:trHeight w:val="600"/>
        </w:trPr>
        <w:tc>
          <w:tcPr>
            <w:tcW w:w="1702" w:type="dxa"/>
            <w:vMerge/>
            <w:tcBorders>
              <w:top w:val="single" w:sz="4" w:space="0" w:color="auto"/>
              <w:left w:val="single" w:sz="4" w:space="0" w:color="auto"/>
              <w:bottom w:val="single" w:sz="4" w:space="0" w:color="000000"/>
              <w:right w:val="nil"/>
            </w:tcBorders>
            <w:shd w:val="clear" w:color="auto" w:fill="D9D9D9" w:themeFill="background1" w:themeFillShade="D9"/>
            <w:vAlign w:val="center"/>
            <w:hideMark/>
          </w:tcPr>
          <w:p w14:paraId="7177539F" w14:textId="77777777" w:rsidR="00DC09AA" w:rsidRPr="007228A6" w:rsidRDefault="00DC09AA" w:rsidP="00DC09AA">
            <w:pPr>
              <w:spacing w:after="0" w:line="240" w:lineRule="auto"/>
              <w:rPr>
                <w:rFonts w:ascii="Century Gothic" w:eastAsia="Times New Roman" w:hAnsi="Century Gothic" w:cs="Calibri"/>
                <w:color w:val="000000"/>
                <w:sz w:val="18"/>
                <w:szCs w:val="18"/>
              </w:rPr>
            </w:pPr>
          </w:p>
        </w:tc>
        <w:tc>
          <w:tcPr>
            <w:tcW w:w="4672" w:type="dxa"/>
            <w:tcBorders>
              <w:top w:val="nil"/>
              <w:left w:val="single" w:sz="4" w:space="0" w:color="auto"/>
              <w:bottom w:val="single" w:sz="4" w:space="0" w:color="auto"/>
              <w:right w:val="single" w:sz="4" w:space="0" w:color="auto"/>
            </w:tcBorders>
            <w:shd w:val="clear" w:color="auto" w:fill="auto"/>
            <w:hideMark/>
          </w:tcPr>
          <w:p w14:paraId="09CFE936" w14:textId="77777777" w:rsidR="00DC09AA" w:rsidRPr="007228A6" w:rsidRDefault="00DC09AA" w:rsidP="00DC09AA">
            <w:pPr>
              <w:spacing w:after="0" w:line="240" w:lineRule="auto"/>
              <w:rPr>
                <w:rFonts w:ascii="Century Gothic" w:eastAsia="Times New Roman" w:hAnsi="Century Gothic" w:cs="Calibri"/>
                <w:color w:val="000000"/>
                <w:sz w:val="18"/>
                <w:szCs w:val="18"/>
              </w:rPr>
            </w:pPr>
            <w:r w:rsidRPr="007228A6">
              <w:rPr>
                <w:rFonts w:ascii="Century Gothic" w:eastAsia="Times New Roman" w:hAnsi="Century Gothic" w:cs="Calibri"/>
                <w:color w:val="000000"/>
                <w:sz w:val="18"/>
                <w:szCs w:val="18"/>
              </w:rPr>
              <w:t>Determine the technical requirements, such as voltage levels, power factor, and metering arrangements.</w:t>
            </w:r>
          </w:p>
        </w:tc>
        <w:tc>
          <w:tcPr>
            <w:tcW w:w="2552" w:type="dxa"/>
            <w:vMerge/>
            <w:tcBorders>
              <w:top w:val="single" w:sz="4" w:space="0" w:color="auto"/>
              <w:left w:val="nil"/>
              <w:bottom w:val="single" w:sz="4" w:space="0" w:color="000000"/>
              <w:right w:val="single" w:sz="4" w:space="0" w:color="auto"/>
            </w:tcBorders>
            <w:shd w:val="clear" w:color="auto" w:fill="auto"/>
            <w:vAlign w:val="center"/>
            <w:hideMark/>
          </w:tcPr>
          <w:p w14:paraId="08326635" w14:textId="77777777" w:rsidR="00DC09AA" w:rsidRPr="007228A6" w:rsidRDefault="00DC09AA" w:rsidP="00DC09AA">
            <w:pPr>
              <w:spacing w:after="0" w:line="240" w:lineRule="auto"/>
              <w:rPr>
                <w:rFonts w:ascii="Century Gothic" w:eastAsia="Times New Roman" w:hAnsi="Century Gothic" w:cs="Calibri"/>
                <w:color w:val="000000"/>
                <w:sz w:val="18"/>
                <w:szCs w:val="18"/>
              </w:rPr>
            </w:pPr>
          </w:p>
        </w:tc>
      </w:tr>
      <w:tr w:rsidR="00DC09AA" w:rsidRPr="00D30305" w14:paraId="71F4DB92" w14:textId="77777777" w:rsidTr="00831A39">
        <w:trPr>
          <w:trHeight w:val="600"/>
        </w:trPr>
        <w:tc>
          <w:tcPr>
            <w:tcW w:w="1702" w:type="dxa"/>
            <w:vMerge/>
            <w:tcBorders>
              <w:top w:val="single" w:sz="4" w:space="0" w:color="auto"/>
              <w:left w:val="single" w:sz="4" w:space="0" w:color="auto"/>
              <w:bottom w:val="single" w:sz="4" w:space="0" w:color="000000"/>
              <w:right w:val="nil"/>
            </w:tcBorders>
            <w:shd w:val="clear" w:color="auto" w:fill="D9D9D9" w:themeFill="background1" w:themeFillShade="D9"/>
            <w:vAlign w:val="center"/>
            <w:hideMark/>
          </w:tcPr>
          <w:p w14:paraId="3FC9AE26" w14:textId="77777777" w:rsidR="00DC09AA" w:rsidRPr="007228A6" w:rsidRDefault="00DC09AA" w:rsidP="00DC09AA">
            <w:pPr>
              <w:spacing w:after="0" w:line="240" w:lineRule="auto"/>
              <w:rPr>
                <w:rFonts w:ascii="Century Gothic" w:eastAsia="Times New Roman" w:hAnsi="Century Gothic" w:cs="Calibri"/>
                <w:color w:val="000000"/>
                <w:sz w:val="18"/>
                <w:szCs w:val="18"/>
              </w:rPr>
            </w:pPr>
          </w:p>
        </w:tc>
        <w:tc>
          <w:tcPr>
            <w:tcW w:w="4672" w:type="dxa"/>
            <w:tcBorders>
              <w:top w:val="nil"/>
              <w:left w:val="single" w:sz="4" w:space="0" w:color="auto"/>
              <w:bottom w:val="single" w:sz="4" w:space="0" w:color="auto"/>
              <w:right w:val="single" w:sz="4" w:space="0" w:color="auto"/>
            </w:tcBorders>
            <w:shd w:val="clear" w:color="auto" w:fill="auto"/>
            <w:hideMark/>
          </w:tcPr>
          <w:p w14:paraId="372AD14E" w14:textId="77777777" w:rsidR="00DC09AA" w:rsidRPr="007228A6" w:rsidRDefault="00DC09AA" w:rsidP="00DC09AA">
            <w:pPr>
              <w:spacing w:after="0" w:line="240" w:lineRule="auto"/>
              <w:rPr>
                <w:rFonts w:ascii="Century Gothic" w:eastAsia="Times New Roman" w:hAnsi="Century Gothic" w:cs="Calibri"/>
                <w:color w:val="000000"/>
                <w:sz w:val="18"/>
                <w:szCs w:val="18"/>
              </w:rPr>
            </w:pPr>
            <w:r w:rsidRPr="007228A6">
              <w:rPr>
                <w:rFonts w:ascii="Century Gothic" w:eastAsia="Times New Roman" w:hAnsi="Century Gothic" w:cs="Calibri"/>
                <w:color w:val="000000"/>
                <w:sz w:val="18"/>
                <w:szCs w:val="18"/>
              </w:rPr>
              <w:t>Address the rights and obligations of the generator and the wheeling entity.</w:t>
            </w:r>
          </w:p>
        </w:tc>
        <w:tc>
          <w:tcPr>
            <w:tcW w:w="2552" w:type="dxa"/>
            <w:vMerge/>
            <w:tcBorders>
              <w:top w:val="single" w:sz="4" w:space="0" w:color="auto"/>
              <w:left w:val="nil"/>
              <w:bottom w:val="single" w:sz="4" w:space="0" w:color="000000"/>
              <w:right w:val="single" w:sz="4" w:space="0" w:color="auto"/>
            </w:tcBorders>
            <w:shd w:val="clear" w:color="auto" w:fill="auto"/>
            <w:vAlign w:val="center"/>
            <w:hideMark/>
          </w:tcPr>
          <w:p w14:paraId="00AC6D97" w14:textId="77777777" w:rsidR="00DC09AA" w:rsidRPr="007228A6" w:rsidRDefault="00DC09AA" w:rsidP="00DC09AA">
            <w:pPr>
              <w:spacing w:after="0" w:line="240" w:lineRule="auto"/>
              <w:rPr>
                <w:rFonts w:ascii="Century Gothic" w:eastAsia="Times New Roman" w:hAnsi="Century Gothic" w:cs="Calibri"/>
                <w:color w:val="000000"/>
                <w:sz w:val="18"/>
                <w:szCs w:val="18"/>
              </w:rPr>
            </w:pPr>
          </w:p>
        </w:tc>
      </w:tr>
      <w:tr w:rsidR="00DC09AA" w:rsidRPr="00D30305" w14:paraId="23A1FEB2" w14:textId="77777777" w:rsidTr="00831A39">
        <w:trPr>
          <w:trHeight w:val="600"/>
        </w:trPr>
        <w:tc>
          <w:tcPr>
            <w:tcW w:w="1702" w:type="dxa"/>
            <w:vMerge/>
            <w:tcBorders>
              <w:top w:val="single" w:sz="4" w:space="0" w:color="auto"/>
              <w:left w:val="single" w:sz="4" w:space="0" w:color="auto"/>
              <w:bottom w:val="single" w:sz="4" w:space="0" w:color="000000"/>
              <w:right w:val="nil"/>
            </w:tcBorders>
            <w:shd w:val="clear" w:color="auto" w:fill="D9D9D9" w:themeFill="background1" w:themeFillShade="D9"/>
            <w:vAlign w:val="center"/>
            <w:hideMark/>
          </w:tcPr>
          <w:p w14:paraId="59986633" w14:textId="77777777" w:rsidR="00DC09AA" w:rsidRPr="007228A6" w:rsidRDefault="00DC09AA" w:rsidP="00DC09AA">
            <w:pPr>
              <w:spacing w:after="0" w:line="240" w:lineRule="auto"/>
              <w:rPr>
                <w:rFonts w:ascii="Century Gothic" w:eastAsia="Times New Roman" w:hAnsi="Century Gothic" w:cs="Calibri"/>
                <w:color w:val="000000"/>
                <w:sz w:val="18"/>
                <w:szCs w:val="18"/>
              </w:rPr>
            </w:pPr>
          </w:p>
        </w:tc>
        <w:tc>
          <w:tcPr>
            <w:tcW w:w="4672" w:type="dxa"/>
            <w:tcBorders>
              <w:top w:val="nil"/>
              <w:left w:val="single" w:sz="4" w:space="0" w:color="auto"/>
              <w:bottom w:val="single" w:sz="4" w:space="0" w:color="auto"/>
              <w:right w:val="single" w:sz="4" w:space="0" w:color="auto"/>
            </w:tcBorders>
            <w:shd w:val="clear" w:color="auto" w:fill="auto"/>
            <w:hideMark/>
          </w:tcPr>
          <w:p w14:paraId="4695A924" w14:textId="77777777" w:rsidR="00DC09AA" w:rsidRPr="007228A6" w:rsidRDefault="00DC09AA" w:rsidP="00DC09AA">
            <w:pPr>
              <w:spacing w:after="0" w:line="240" w:lineRule="auto"/>
              <w:rPr>
                <w:rFonts w:ascii="Century Gothic" w:eastAsia="Times New Roman" w:hAnsi="Century Gothic" w:cs="Calibri"/>
                <w:color w:val="000000"/>
                <w:sz w:val="18"/>
                <w:szCs w:val="18"/>
              </w:rPr>
            </w:pPr>
            <w:r w:rsidRPr="007228A6">
              <w:rPr>
                <w:rFonts w:ascii="Century Gothic" w:eastAsia="Times New Roman" w:hAnsi="Century Gothic" w:cs="Calibri"/>
                <w:color w:val="000000"/>
                <w:sz w:val="18"/>
                <w:szCs w:val="18"/>
              </w:rPr>
              <w:t>Include provisions for scheduling, curtailment, force majeure events, and dispute resolution mechanisms.</w:t>
            </w:r>
          </w:p>
        </w:tc>
        <w:tc>
          <w:tcPr>
            <w:tcW w:w="2552" w:type="dxa"/>
            <w:vMerge/>
            <w:tcBorders>
              <w:top w:val="single" w:sz="4" w:space="0" w:color="auto"/>
              <w:left w:val="nil"/>
              <w:bottom w:val="single" w:sz="4" w:space="0" w:color="000000"/>
              <w:right w:val="single" w:sz="4" w:space="0" w:color="auto"/>
            </w:tcBorders>
            <w:shd w:val="clear" w:color="auto" w:fill="auto"/>
            <w:vAlign w:val="center"/>
            <w:hideMark/>
          </w:tcPr>
          <w:p w14:paraId="76869228" w14:textId="77777777" w:rsidR="00DC09AA" w:rsidRPr="007228A6" w:rsidRDefault="00DC09AA" w:rsidP="00DC09AA">
            <w:pPr>
              <w:spacing w:after="0" w:line="240" w:lineRule="auto"/>
              <w:rPr>
                <w:rFonts w:ascii="Century Gothic" w:eastAsia="Times New Roman" w:hAnsi="Century Gothic" w:cs="Calibri"/>
                <w:color w:val="000000"/>
                <w:sz w:val="18"/>
                <w:szCs w:val="18"/>
              </w:rPr>
            </w:pPr>
          </w:p>
        </w:tc>
      </w:tr>
      <w:tr w:rsidR="00DC09AA" w:rsidRPr="00D30305" w14:paraId="09BCA8F1" w14:textId="77777777" w:rsidTr="00831A39">
        <w:trPr>
          <w:trHeight w:val="600"/>
        </w:trPr>
        <w:tc>
          <w:tcPr>
            <w:tcW w:w="1702" w:type="dxa"/>
            <w:vMerge w:val="restart"/>
            <w:tcBorders>
              <w:top w:val="nil"/>
              <w:left w:val="single" w:sz="4" w:space="0" w:color="auto"/>
              <w:bottom w:val="nil"/>
              <w:right w:val="nil"/>
            </w:tcBorders>
            <w:shd w:val="clear" w:color="auto" w:fill="D9D9D9" w:themeFill="background1" w:themeFillShade="D9"/>
            <w:vAlign w:val="center"/>
            <w:hideMark/>
          </w:tcPr>
          <w:p w14:paraId="18B4B760" w14:textId="3D7E90BC" w:rsidR="00DC09AA" w:rsidRPr="007228A6" w:rsidRDefault="00DC09AA" w:rsidP="00DC09AA">
            <w:pPr>
              <w:spacing w:after="0" w:line="240" w:lineRule="auto"/>
              <w:jc w:val="center"/>
              <w:rPr>
                <w:rFonts w:ascii="Century Gothic" w:eastAsia="Times New Roman" w:hAnsi="Century Gothic" w:cs="Calibri"/>
                <w:color w:val="000000"/>
                <w:sz w:val="18"/>
                <w:szCs w:val="18"/>
              </w:rPr>
            </w:pPr>
            <w:r w:rsidRPr="007228A6">
              <w:rPr>
                <w:rFonts w:ascii="Century Gothic" w:eastAsia="Times New Roman" w:hAnsi="Century Gothic" w:cs="Calibri"/>
                <w:color w:val="000000"/>
                <w:sz w:val="18"/>
                <w:szCs w:val="18"/>
              </w:rPr>
              <w:t>Agreement with the Off</w:t>
            </w:r>
            <w:r w:rsidR="00D83D48">
              <w:rPr>
                <w:rFonts w:ascii="Century Gothic" w:eastAsia="Times New Roman" w:hAnsi="Century Gothic" w:cs="Calibri"/>
                <w:color w:val="000000"/>
                <w:sz w:val="18"/>
                <w:szCs w:val="18"/>
              </w:rPr>
              <w:t>-</w:t>
            </w:r>
            <w:r w:rsidRPr="007228A6">
              <w:rPr>
                <w:rFonts w:ascii="Century Gothic" w:eastAsia="Times New Roman" w:hAnsi="Century Gothic" w:cs="Calibri"/>
                <w:color w:val="000000"/>
                <w:sz w:val="18"/>
                <w:szCs w:val="18"/>
              </w:rPr>
              <w:t>taker:</w:t>
            </w:r>
          </w:p>
        </w:tc>
        <w:tc>
          <w:tcPr>
            <w:tcW w:w="4672" w:type="dxa"/>
            <w:tcBorders>
              <w:top w:val="nil"/>
              <w:left w:val="single" w:sz="4" w:space="0" w:color="auto"/>
              <w:bottom w:val="single" w:sz="4" w:space="0" w:color="auto"/>
              <w:right w:val="single" w:sz="4" w:space="0" w:color="auto"/>
            </w:tcBorders>
            <w:shd w:val="clear" w:color="auto" w:fill="auto"/>
            <w:hideMark/>
          </w:tcPr>
          <w:p w14:paraId="67EBA701" w14:textId="77777777" w:rsidR="00DC09AA" w:rsidRPr="007228A6" w:rsidRDefault="00DC09AA" w:rsidP="00DC09AA">
            <w:pPr>
              <w:spacing w:after="0" w:line="240" w:lineRule="auto"/>
              <w:rPr>
                <w:rFonts w:ascii="Century Gothic" w:eastAsia="Times New Roman" w:hAnsi="Century Gothic" w:cs="Calibri"/>
                <w:color w:val="000000"/>
                <w:sz w:val="18"/>
                <w:szCs w:val="18"/>
              </w:rPr>
            </w:pPr>
            <w:r w:rsidRPr="007228A6">
              <w:rPr>
                <w:rFonts w:ascii="Century Gothic" w:eastAsia="Times New Roman" w:hAnsi="Century Gothic" w:cs="Calibri"/>
                <w:color w:val="000000"/>
                <w:sz w:val="18"/>
                <w:szCs w:val="18"/>
              </w:rPr>
              <w:t>Establish the terms and conditions for the off-taker to receive electricity through wheeling from a specific generator.</w:t>
            </w:r>
          </w:p>
        </w:tc>
        <w:tc>
          <w:tcPr>
            <w:tcW w:w="2552" w:type="dxa"/>
            <w:vMerge w:val="restart"/>
            <w:tcBorders>
              <w:top w:val="nil"/>
              <w:left w:val="nil"/>
              <w:bottom w:val="nil"/>
              <w:right w:val="single" w:sz="4" w:space="0" w:color="auto"/>
            </w:tcBorders>
            <w:shd w:val="clear" w:color="auto" w:fill="auto"/>
            <w:hideMark/>
          </w:tcPr>
          <w:p w14:paraId="5672B5FE" w14:textId="1CBE2CFB" w:rsidR="00DC09AA" w:rsidRPr="007228A6" w:rsidRDefault="00DC09AA" w:rsidP="00DC09AA">
            <w:pPr>
              <w:spacing w:after="0" w:line="240" w:lineRule="auto"/>
              <w:rPr>
                <w:rFonts w:ascii="Century Gothic" w:eastAsia="Times New Roman" w:hAnsi="Century Gothic" w:cs="Calibri"/>
                <w:color w:val="000000"/>
                <w:sz w:val="18"/>
                <w:szCs w:val="18"/>
              </w:rPr>
            </w:pPr>
            <w:r w:rsidRPr="007228A6">
              <w:rPr>
                <w:rFonts w:ascii="Century Gothic" w:eastAsia="Times New Roman" w:hAnsi="Century Gothic" w:cs="Calibri"/>
                <w:color w:val="000000"/>
                <w:sz w:val="18"/>
                <w:szCs w:val="18"/>
              </w:rPr>
              <w:t>Similar to the agreement with the generator, the negotiation and drafting of the agreement with the off-taker can typically take several weeks to a few months, depending on the complexity of the project, the availability of both parties, and any necessary regulatory approvals.</w:t>
            </w:r>
            <w:r>
              <w:rPr>
                <w:rFonts w:ascii="Century Gothic" w:eastAsia="Times New Roman" w:hAnsi="Century Gothic" w:cs="Calibri"/>
                <w:color w:val="000000"/>
                <w:sz w:val="18"/>
                <w:szCs w:val="18"/>
              </w:rPr>
              <w:t xml:space="preserve"> The aim should be to finalise the agreement in 4 to 8 weeks</w:t>
            </w:r>
            <w:r w:rsidR="00EC7A47">
              <w:rPr>
                <w:rFonts w:ascii="Century Gothic" w:eastAsia="Times New Roman" w:hAnsi="Century Gothic" w:cs="Calibri"/>
                <w:color w:val="000000"/>
                <w:sz w:val="18"/>
                <w:szCs w:val="18"/>
              </w:rPr>
              <w:t>.</w:t>
            </w:r>
          </w:p>
        </w:tc>
      </w:tr>
      <w:tr w:rsidR="00DC09AA" w:rsidRPr="00D30305" w14:paraId="661C46AC" w14:textId="77777777" w:rsidTr="00831A39">
        <w:trPr>
          <w:trHeight w:val="600"/>
        </w:trPr>
        <w:tc>
          <w:tcPr>
            <w:tcW w:w="1702" w:type="dxa"/>
            <w:vMerge/>
            <w:tcBorders>
              <w:top w:val="nil"/>
              <w:left w:val="single" w:sz="4" w:space="0" w:color="auto"/>
              <w:bottom w:val="nil"/>
              <w:right w:val="nil"/>
            </w:tcBorders>
            <w:shd w:val="clear" w:color="auto" w:fill="D9D9D9" w:themeFill="background1" w:themeFillShade="D9"/>
            <w:vAlign w:val="center"/>
            <w:hideMark/>
          </w:tcPr>
          <w:p w14:paraId="25A9ECF6" w14:textId="77777777" w:rsidR="00DC09AA" w:rsidRPr="007228A6" w:rsidRDefault="00DC09AA" w:rsidP="00DC09AA">
            <w:pPr>
              <w:spacing w:after="0" w:line="240" w:lineRule="auto"/>
              <w:rPr>
                <w:rFonts w:ascii="Century Gothic" w:eastAsia="Times New Roman" w:hAnsi="Century Gothic" w:cs="Calibri"/>
                <w:color w:val="000000"/>
                <w:sz w:val="18"/>
                <w:szCs w:val="18"/>
              </w:rPr>
            </w:pPr>
          </w:p>
        </w:tc>
        <w:tc>
          <w:tcPr>
            <w:tcW w:w="4672" w:type="dxa"/>
            <w:tcBorders>
              <w:top w:val="nil"/>
              <w:left w:val="single" w:sz="4" w:space="0" w:color="auto"/>
              <w:bottom w:val="single" w:sz="4" w:space="0" w:color="auto"/>
              <w:right w:val="single" w:sz="4" w:space="0" w:color="auto"/>
            </w:tcBorders>
            <w:shd w:val="clear" w:color="auto" w:fill="auto"/>
            <w:hideMark/>
          </w:tcPr>
          <w:p w14:paraId="02F450D1" w14:textId="77777777" w:rsidR="00DC09AA" w:rsidRPr="007228A6" w:rsidRDefault="00DC09AA" w:rsidP="00DC09AA">
            <w:pPr>
              <w:spacing w:after="0" w:line="240" w:lineRule="auto"/>
              <w:rPr>
                <w:rFonts w:ascii="Century Gothic" w:eastAsia="Times New Roman" w:hAnsi="Century Gothic" w:cs="Calibri"/>
                <w:color w:val="000000"/>
                <w:sz w:val="18"/>
                <w:szCs w:val="18"/>
              </w:rPr>
            </w:pPr>
            <w:r w:rsidRPr="007228A6">
              <w:rPr>
                <w:rFonts w:ascii="Century Gothic" w:eastAsia="Times New Roman" w:hAnsi="Century Gothic" w:cs="Calibri"/>
                <w:color w:val="000000"/>
                <w:sz w:val="18"/>
                <w:szCs w:val="18"/>
              </w:rPr>
              <w:t>Define the wheeling charges, payment terms, and invoicing procedures.</w:t>
            </w:r>
          </w:p>
        </w:tc>
        <w:tc>
          <w:tcPr>
            <w:tcW w:w="2552" w:type="dxa"/>
            <w:vMerge/>
            <w:tcBorders>
              <w:top w:val="nil"/>
              <w:left w:val="nil"/>
              <w:bottom w:val="nil"/>
              <w:right w:val="single" w:sz="4" w:space="0" w:color="auto"/>
            </w:tcBorders>
            <w:shd w:val="clear" w:color="auto" w:fill="auto"/>
            <w:vAlign w:val="center"/>
            <w:hideMark/>
          </w:tcPr>
          <w:p w14:paraId="71CD2549" w14:textId="77777777" w:rsidR="00DC09AA" w:rsidRPr="007228A6" w:rsidRDefault="00DC09AA" w:rsidP="00DC09AA">
            <w:pPr>
              <w:spacing w:after="0" w:line="240" w:lineRule="auto"/>
              <w:rPr>
                <w:rFonts w:ascii="Century Gothic" w:eastAsia="Times New Roman" w:hAnsi="Century Gothic" w:cs="Calibri"/>
                <w:color w:val="000000"/>
                <w:sz w:val="18"/>
                <w:szCs w:val="18"/>
              </w:rPr>
            </w:pPr>
          </w:p>
        </w:tc>
      </w:tr>
      <w:tr w:rsidR="00DC09AA" w:rsidRPr="00D30305" w14:paraId="7372500D" w14:textId="77777777" w:rsidTr="00831A39">
        <w:trPr>
          <w:trHeight w:val="600"/>
        </w:trPr>
        <w:tc>
          <w:tcPr>
            <w:tcW w:w="1702" w:type="dxa"/>
            <w:vMerge/>
            <w:tcBorders>
              <w:top w:val="nil"/>
              <w:left w:val="single" w:sz="4" w:space="0" w:color="auto"/>
              <w:bottom w:val="nil"/>
              <w:right w:val="nil"/>
            </w:tcBorders>
            <w:shd w:val="clear" w:color="auto" w:fill="D9D9D9" w:themeFill="background1" w:themeFillShade="D9"/>
            <w:vAlign w:val="center"/>
            <w:hideMark/>
          </w:tcPr>
          <w:p w14:paraId="65D02DA4" w14:textId="77777777" w:rsidR="00DC09AA" w:rsidRPr="007228A6" w:rsidRDefault="00DC09AA" w:rsidP="00DC09AA">
            <w:pPr>
              <w:spacing w:after="0" w:line="240" w:lineRule="auto"/>
              <w:rPr>
                <w:rFonts w:ascii="Century Gothic" w:eastAsia="Times New Roman" w:hAnsi="Century Gothic" w:cs="Calibri"/>
                <w:color w:val="000000"/>
                <w:sz w:val="18"/>
                <w:szCs w:val="18"/>
              </w:rPr>
            </w:pPr>
          </w:p>
        </w:tc>
        <w:tc>
          <w:tcPr>
            <w:tcW w:w="4672" w:type="dxa"/>
            <w:tcBorders>
              <w:top w:val="nil"/>
              <w:left w:val="single" w:sz="4" w:space="0" w:color="auto"/>
              <w:bottom w:val="single" w:sz="4" w:space="0" w:color="auto"/>
              <w:right w:val="single" w:sz="4" w:space="0" w:color="auto"/>
            </w:tcBorders>
            <w:shd w:val="clear" w:color="auto" w:fill="auto"/>
            <w:hideMark/>
          </w:tcPr>
          <w:p w14:paraId="7E73E1C3" w14:textId="77777777" w:rsidR="00DC09AA" w:rsidRPr="007228A6" w:rsidRDefault="00DC09AA" w:rsidP="00DC09AA">
            <w:pPr>
              <w:spacing w:after="0" w:line="240" w:lineRule="auto"/>
              <w:rPr>
                <w:rFonts w:ascii="Century Gothic" w:eastAsia="Times New Roman" w:hAnsi="Century Gothic" w:cs="Calibri"/>
                <w:color w:val="000000"/>
                <w:sz w:val="18"/>
                <w:szCs w:val="18"/>
              </w:rPr>
            </w:pPr>
            <w:r w:rsidRPr="007228A6">
              <w:rPr>
                <w:rFonts w:ascii="Century Gothic" w:eastAsia="Times New Roman" w:hAnsi="Century Gothic" w:cs="Calibri"/>
                <w:color w:val="000000"/>
                <w:sz w:val="18"/>
                <w:szCs w:val="18"/>
              </w:rPr>
              <w:t>Determine the technical requirements, such as voltage levels, power quality, and metering arrangements at the off-taker's location.</w:t>
            </w:r>
          </w:p>
        </w:tc>
        <w:tc>
          <w:tcPr>
            <w:tcW w:w="2552" w:type="dxa"/>
            <w:vMerge/>
            <w:tcBorders>
              <w:top w:val="nil"/>
              <w:left w:val="nil"/>
              <w:bottom w:val="nil"/>
              <w:right w:val="single" w:sz="4" w:space="0" w:color="auto"/>
            </w:tcBorders>
            <w:shd w:val="clear" w:color="auto" w:fill="auto"/>
            <w:vAlign w:val="center"/>
            <w:hideMark/>
          </w:tcPr>
          <w:p w14:paraId="3EA8F957" w14:textId="77777777" w:rsidR="00DC09AA" w:rsidRPr="007228A6" w:rsidRDefault="00DC09AA" w:rsidP="00DC09AA">
            <w:pPr>
              <w:spacing w:after="0" w:line="240" w:lineRule="auto"/>
              <w:rPr>
                <w:rFonts w:ascii="Century Gothic" w:eastAsia="Times New Roman" w:hAnsi="Century Gothic" w:cs="Calibri"/>
                <w:color w:val="000000"/>
                <w:sz w:val="18"/>
                <w:szCs w:val="18"/>
              </w:rPr>
            </w:pPr>
          </w:p>
        </w:tc>
      </w:tr>
      <w:tr w:rsidR="00DC09AA" w:rsidRPr="00D30305" w14:paraId="4FB2FC39" w14:textId="77777777" w:rsidTr="00831A39">
        <w:trPr>
          <w:trHeight w:val="600"/>
        </w:trPr>
        <w:tc>
          <w:tcPr>
            <w:tcW w:w="1702" w:type="dxa"/>
            <w:vMerge/>
            <w:tcBorders>
              <w:top w:val="nil"/>
              <w:left w:val="single" w:sz="4" w:space="0" w:color="auto"/>
              <w:bottom w:val="nil"/>
              <w:right w:val="nil"/>
            </w:tcBorders>
            <w:shd w:val="clear" w:color="auto" w:fill="D9D9D9" w:themeFill="background1" w:themeFillShade="D9"/>
            <w:vAlign w:val="center"/>
            <w:hideMark/>
          </w:tcPr>
          <w:p w14:paraId="0375ED93" w14:textId="77777777" w:rsidR="00DC09AA" w:rsidRPr="007228A6" w:rsidRDefault="00DC09AA" w:rsidP="00DC09AA">
            <w:pPr>
              <w:spacing w:after="0" w:line="240" w:lineRule="auto"/>
              <w:rPr>
                <w:rFonts w:ascii="Century Gothic" w:eastAsia="Times New Roman" w:hAnsi="Century Gothic" w:cs="Calibri"/>
                <w:color w:val="000000"/>
                <w:sz w:val="18"/>
                <w:szCs w:val="18"/>
              </w:rPr>
            </w:pPr>
          </w:p>
        </w:tc>
        <w:tc>
          <w:tcPr>
            <w:tcW w:w="4672" w:type="dxa"/>
            <w:tcBorders>
              <w:top w:val="nil"/>
              <w:left w:val="single" w:sz="4" w:space="0" w:color="auto"/>
              <w:bottom w:val="single" w:sz="4" w:space="0" w:color="auto"/>
              <w:right w:val="single" w:sz="4" w:space="0" w:color="auto"/>
            </w:tcBorders>
            <w:shd w:val="clear" w:color="auto" w:fill="auto"/>
            <w:hideMark/>
          </w:tcPr>
          <w:p w14:paraId="5E27D4C7" w14:textId="77777777" w:rsidR="00DC09AA" w:rsidRPr="007228A6" w:rsidRDefault="00DC09AA" w:rsidP="00DC09AA">
            <w:pPr>
              <w:spacing w:after="0" w:line="240" w:lineRule="auto"/>
              <w:rPr>
                <w:rFonts w:ascii="Century Gothic" w:eastAsia="Times New Roman" w:hAnsi="Century Gothic" w:cs="Calibri"/>
                <w:color w:val="000000"/>
                <w:sz w:val="18"/>
                <w:szCs w:val="18"/>
              </w:rPr>
            </w:pPr>
            <w:r w:rsidRPr="007228A6">
              <w:rPr>
                <w:rFonts w:ascii="Century Gothic" w:eastAsia="Times New Roman" w:hAnsi="Century Gothic" w:cs="Calibri"/>
                <w:color w:val="000000"/>
                <w:sz w:val="18"/>
                <w:szCs w:val="18"/>
              </w:rPr>
              <w:t>Address the rights and obligations of the off-taker and the wheeling entity.</w:t>
            </w:r>
          </w:p>
        </w:tc>
        <w:tc>
          <w:tcPr>
            <w:tcW w:w="2552" w:type="dxa"/>
            <w:vMerge/>
            <w:tcBorders>
              <w:top w:val="nil"/>
              <w:left w:val="nil"/>
              <w:bottom w:val="nil"/>
              <w:right w:val="single" w:sz="4" w:space="0" w:color="auto"/>
            </w:tcBorders>
            <w:shd w:val="clear" w:color="auto" w:fill="auto"/>
            <w:vAlign w:val="center"/>
            <w:hideMark/>
          </w:tcPr>
          <w:p w14:paraId="391AAEDC" w14:textId="77777777" w:rsidR="00DC09AA" w:rsidRPr="007228A6" w:rsidRDefault="00DC09AA" w:rsidP="00DC09AA">
            <w:pPr>
              <w:spacing w:after="0" w:line="240" w:lineRule="auto"/>
              <w:rPr>
                <w:rFonts w:ascii="Century Gothic" w:eastAsia="Times New Roman" w:hAnsi="Century Gothic" w:cs="Calibri"/>
                <w:color w:val="000000"/>
                <w:sz w:val="18"/>
                <w:szCs w:val="18"/>
              </w:rPr>
            </w:pPr>
          </w:p>
        </w:tc>
      </w:tr>
      <w:tr w:rsidR="00DC09AA" w:rsidRPr="00D30305" w14:paraId="5EBB8B12" w14:textId="77777777" w:rsidTr="00831A39">
        <w:trPr>
          <w:trHeight w:val="600"/>
        </w:trPr>
        <w:tc>
          <w:tcPr>
            <w:tcW w:w="1702" w:type="dxa"/>
            <w:vMerge/>
            <w:tcBorders>
              <w:top w:val="nil"/>
              <w:left w:val="single" w:sz="4" w:space="0" w:color="auto"/>
              <w:bottom w:val="nil"/>
              <w:right w:val="nil"/>
            </w:tcBorders>
            <w:shd w:val="clear" w:color="auto" w:fill="D9D9D9" w:themeFill="background1" w:themeFillShade="D9"/>
            <w:vAlign w:val="center"/>
            <w:hideMark/>
          </w:tcPr>
          <w:p w14:paraId="2082E96E" w14:textId="77777777" w:rsidR="00DC09AA" w:rsidRPr="007228A6" w:rsidRDefault="00DC09AA" w:rsidP="00DC09AA">
            <w:pPr>
              <w:spacing w:after="0" w:line="240" w:lineRule="auto"/>
              <w:rPr>
                <w:rFonts w:ascii="Century Gothic" w:eastAsia="Times New Roman" w:hAnsi="Century Gothic" w:cs="Calibri"/>
                <w:color w:val="000000"/>
                <w:sz w:val="18"/>
                <w:szCs w:val="18"/>
              </w:rPr>
            </w:pPr>
          </w:p>
        </w:tc>
        <w:tc>
          <w:tcPr>
            <w:tcW w:w="4672" w:type="dxa"/>
            <w:tcBorders>
              <w:top w:val="nil"/>
              <w:left w:val="single" w:sz="4" w:space="0" w:color="auto"/>
              <w:bottom w:val="single" w:sz="4" w:space="0" w:color="auto"/>
              <w:right w:val="single" w:sz="4" w:space="0" w:color="auto"/>
            </w:tcBorders>
            <w:shd w:val="clear" w:color="auto" w:fill="auto"/>
            <w:hideMark/>
          </w:tcPr>
          <w:p w14:paraId="5941E8D1" w14:textId="77777777" w:rsidR="00DC09AA" w:rsidRPr="007228A6" w:rsidRDefault="00DC09AA" w:rsidP="00DC09AA">
            <w:pPr>
              <w:spacing w:after="0" w:line="240" w:lineRule="auto"/>
              <w:rPr>
                <w:rFonts w:ascii="Century Gothic" w:eastAsia="Times New Roman" w:hAnsi="Century Gothic" w:cs="Calibri"/>
                <w:color w:val="000000"/>
                <w:sz w:val="18"/>
                <w:szCs w:val="18"/>
              </w:rPr>
            </w:pPr>
            <w:r w:rsidRPr="007228A6">
              <w:rPr>
                <w:rFonts w:ascii="Century Gothic" w:eastAsia="Times New Roman" w:hAnsi="Century Gothic" w:cs="Calibri"/>
                <w:color w:val="000000"/>
                <w:sz w:val="18"/>
                <w:szCs w:val="18"/>
              </w:rPr>
              <w:t>Include provisions for scheduling, curtailment, force majeure events, and dispute resolution mechanisms.</w:t>
            </w:r>
          </w:p>
        </w:tc>
        <w:tc>
          <w:tcPr>
            <w:tcW w:w="2552" w:type="dxa"/>
            <w:vMerge/>
            <w:tcBorders>
              <w:top w:val="nil"/>
              <w:left w:val="nil"/>
              <w:bottom w:val="nil"/>
              <w:right w:val="single" w:sz="4" w:space="0" w:color="auto"/>
            </w:tcBorders>
            <w:shd w:val="clear" w:color="auto" w:fill="auto"/>
            <w:vAlign w:val="center"/>
            <w:hideMark/>
          </w:tcPr>
          <w:p w14:paraId="508D7B2F" w14:textId="77777777" w:rsidR="00DC09AA" w:rsidRPr="007228A6" w:rsidRDefault="00DC09AA" w:rsidP="00DC09AA">
            <w:pPr>
              <w:spacing w:after="0" w:line="240" w:lineRule="auto"/>
              <w:rPr>
                <w:rFonts w:ascii="Century Gothic" w:eastAsia="Times New Roman" w:hAnsi="Century Gothic" w:cs="Calibri"/>
                <w:color w:val="000000"/>
                <w:sz w:val="18"/>
                <w:szCs w:val="18"/>
              </w:rPr>
            </w:pPr>
          </w:p>
        </w:tc>
      </w:tr>
      <w:tr w:rsidR="00DC09AA" w:rsidRPr="00D30305" w14:paraId="4417F132" w14:textId="77777777" w:rsidTr="00831A39">
        <w:trPr>
          <w:trHeight w:val="600"/>
        </w:trPr>
        <w:tc>
          <w:tcPr>
            <w:tcW w:w="1702" w:type="dxa"/>
            <w:vMerge w:val="restart"/>
            <w:tcBorders>
              <w:top w:val="single" w:sz="4" w:space="0" w:color="auto"/>
              <w:left w:val="single" w:sz="4" w:space="0" w:color="auto"/>
              <w:bottom w:val="single" w:sz="4" w:space="0" w:color="000000"/>
              <w:right w:val="nil"/>
            </w:tcBorders>
            <w:shd w:val="clear" w:color="auto" w:fill="D9D9D9" w:themeFill="background1" w:themeFillShade="D9"/>
            <w:vAlign w:val="center"/>
            <w:hideMark/>
          </w:tcPr>
          <w:p w14:paraId="5BD318F0" w14:textId="77777777" w:rsidR="00DC09AA" w:rsidRPr="007228A6" w:rsidRDefault="00DC09AA" w:rsidP="00DC09AA">
            <w:pPr>
              <w:spacing w:after="0" w:line="240" w:lineRule="auto"/>
              <w:jc w:val="center"/>
              <w:rPr>
                <w:rFonts w:ascii="Century Gothic" w:eastAsia="Times New Roman" w:hAnsi="Century Gothic" w:cs="Calibri"/>
                <w:color w:val="000000"/>
                <w:sz w:val="18"/>
                <w:szCs w:val="18"/>
              </w:rPr>
            </w:pPr>
            <w:r w:rsidRPr="007228A6">
              <w:rPr>
                <w:rFonts w:ascii="Century Gothic" w:eastAsia="Times New Roman" w:hAnsi="Century Gothic" w:cs="Calibri"/>
                <w:color w:val="000000"/>
                <w:sz w:val="18"/>
                <w:szCs w:val="18"/>
              </w:rPr>
              <w:t>Agreement with an Intermediary (Trader or Corporate Entity):</w:t>
            </w:r>
          </w:p>
        </w:tc>
        <w:tc>
          <w:tcPr>
            <w:tcW w:w="4672" w:type="dxa"/>
            <w:tcBorders>
              <w:top w:val="nil"/>
              <w:left w:val="single" w:sz="4" w:space="0" w:color="auto"/>
              <w:bottom w:val="single" w:sz="4" w:space="0" w:color="auto"/>
              <w:right w:val="single" w:sz="4" w:space="0" w:color="auto"/>
            </w:tcBorders>
            <w:shd w:val="clear" w:color="auto" w:fill="auto"/>
            <w:hideMark/>
          </w:tcPr>
          <w:p w14:paraId="4C70A280" w14:textId="77777777" w:rsidR="00DC09AA" w:rsidRPr="007228A6" w:rsidRDefault="00DC09AA" w:rsidP="00DC09AA">
            <w:pPr>
              <w:spacing w:after="0" w:line="240" w:lineRule="auto"/>
              <w:rPr>
                <w:rFonts w:ascii="Century Gothic" w:eastAsia="Times New Roman" w:hAnsi="Century Gothic" w:cs="Calibri"/>
                <w:color w:val="000000"/>
                <w:sz w:val="18"/>
                <w:szCs w:val="18"/>
              </w:rPr>
            </w:pPr>
            <w:r w:rsidRPr="007228A6">
              <w:rPr>
                <w:rFonts w:ascii="Century Gothic" w:eastAsia="Times New Roman" w:hAnsi="Century Gothic" w:cs="Calibri"/>
                <w:color w:val="000000"/>
                <w:sz w:val="18"/>
                <w:szCs w:val="18"/>
              </w:rPr>
              <w:t>Establish the terms and conditions for an intermediary entity, such as a trader or corporate entity, to facilitate the wheeling arrangement between the generator and the off-taker.</w:t>
            </w:r>
          </w:p>
        </w:tc>
        <w:tc>
          <w:tcPr>
            <w:tcW w:w="2552" w:type="dxa"/>
            <w:vMerge w:val="restart"/>
            <w:tcBorders>
              <w:top w:val="single" w:sz="4" w:space="0" w:color="auto"/>
              <w:left w:val="nil"/>
              <w:bottom w:val="single" w:sz="4" w:space="0" w:color="000000"/>
              <w:right w:val="single" w:sz="4" w:space="0" w:color="auto"/>
            </w:tcBorders>
            <w:shd w:val="clear" w:color="auto" w:fill="auto"/>
            <w:hideMark/>
          </w:tcPr>
          <w:p w14:paraId="1816F73F" w14:textId="77777777" w:rsidR="00DC09AA" w:rsidRPr="007228A6" w:rsidRDefault="00DC09AA" w:rsidP="00DC09AA">
            <w:pPr>
              <w:spacing w:after="0" w:line="240" w:lineRule="auto"/>
              <w:rPr>
                <w:rFonts w:ascii="Century Gothic" w:eastAsia="Times New Roman" w:hAnsi="Century Gothic" w:cs="Calibri"/>
                <w:color w:val="000000"/>
                <w:sz w:val="18"/>
                <w:szCs w:val="18"/>
              </w:rPr>
            </w:pPr>
            <w:r w:rsidRPr="007228A6">
              <w:rPr>
                <w:rFonts w:ascii="Century Gothic" w:eastAsia="Times New Roman" w:hAnsi="Century Gothic" w:cs="Calibri"/>
                <w:color w:val="000000"/>
                <w:sz w:val="18"/>
                <w:szCs w:val="18"/>
              </w:rPr>
              <w:t xml:space="preserve">The negotiation and drafting of the agreement with an intermediary can vary depending on the complexity of the arrangement, the involvement of multiple </w:t>
            </w:r>
            <w:r w:rsidRPr="007228A6">
              <w:rPr>
                <w:rFonts w:ascii="Century Gothic" w:eastAsia="Times New Roman" w:hAnsi="Century Gothic" w:cs="Calibri"/>
                <w:color w:val="000000"/>
                <w:sz w:val="18"/>
                <w:szCs w:val="18"/>
              </w:rPr>
              <w:lastRenderedPageBreak/>
              <w:t xml:space="preserve">parties, and any necessary regulatory approvals. It can typically take </w:t>
            </w:r>
            <w:r>
              <w:rPr>
                <w:rFonts w:ascii="Century Gothic" w:eastAsia="Times New Roman" w:hAnsi="Century Gothic" w:cs="Calibri"/>
                <w:color w:val="000000"/>
                <w:sz w:val="18"/>
                <w:szCs w:val="18"/>
              </w:rPr>
              <w:t>between 4 to 8 weeks</w:t>
            </w:r>
            <w:r w:rsidRPr="007228A6">
              <w:rPr>
                <w:rFonts w:ascii="Century Gothic" w:eastAsia="Times New Roman" w:hAnsi="Century Gothic" w:cs="Calibri"/>
                <w:color w:val="000000"/>
                <w:sz w:val="18"/>
                <w:szCs w:val="18"/>
              </w:rPr>
              <w:t>.</w:t>
            </w:r>
          </w:p>
        </w:tc>
      </w:tr>
      <w:tr w:rsidR="00DC09AA" w:rsidRPr="00D30305" w14:paraId="4E584E72" w14:textId="77777777" w:rsidTr="00831A39">
        <w:trPr>
          <w:trHeight w:val="600"/>
        </w:trPr>
        <w:tc>
          <w:tcPr>
            <w:tcW w:w="1702" w:type="dxa"/>
            <w:vMerge/>
            <w:tcBorders>
              <w:top w:val="single" w:sz="4" w:space="0" w:color="auto"/>
              <w:left w:val="single" w:sz="4" w:space="0" w:color="auto"/>
              <w:bottom w:val="single" w:sz="4" w:space="0" w:color="000000"/>
              <w:right w:val="nil"/>
            </w:tcBorders>
            <w:shd w:val="clear" w:color="auto" w:fill="D9D9D9" w:themeFill="background1" w:themeFillShade="D9"/>
            <w:vAlign w:val="center"/>
            <w:hideMark/>
          </w:tcPr>
          <w:p w14:paraId="658CE5AD" w14:textId="77777777" w:rsidR="00DC09AA" w:rsidRPr="007228A6" w:rsidRDefault="00DC09AA" w:rsidP="00DC09AA">
            <w:pPr>
              <w:spacing w:after="0" w:line="240" w:lineRule="auto"/>
              <w:rPr>
                <w:rFonts w:ascii="Century Gothic" w:eastAsia="Times New Roman" w:hAnsi="Century Gothic" w:cs="Calibri"/>
                <w:color w:val="000000"/>
                <w:sz w:val="18"/>
                <w:szCs w:val="18"/>
              </w:rPr>
            </w:pPr>
          </w:p>
        </w:tc>
        <w:tc>
          <w:tcPr>
            <w:tcW w:w="4672" w:type="dxa"/>
            <w:tcBorders>
              <w:top w:val="nil"/>
              <w:left w:val="single" w:sz="4" w:space="0" w:color="auto"/>
              <w:bottom w:val="single" w:sz="4" w:space="0" w:color="auto"/>
              <w:right w:val="single" w:sz="4" w:space="0" w:color="auto"/>
            </w:tcBorders>
            <w:shd w:val="clear" w:color="auto" w:fill="auto"/>
            <w:hideMark/>
          </w:tcPr>
          <w:p w14:paraId="695407DE" w14:textId="77777777" w:rsidR="00DC09AA" w:rsidRPr="007228A6" w:rsidRDefault="00DC09AA" w:rsidP="00DC09AA">
            <w:pPr>
              <w:spacing w:after="0" w:line="240" w:lineRule="auto"/>
              <w:rPr>
                <w:rFonts w:ascii="Century Gothic" w:eastAsia="Times New Roman" w:hAnsi="Century Gothic" w:cs="Calibri"/>
                <w:color w:val="000000"/>
                <w:sz w:val="18"/>
                <w:szCs w:val="18"/>
              </w:rPr>
            </w:pPr>
            <w:r w:rsidRPr="007228A6">
              <w:rPr>
                <w:rFonts w:ascii="Century Gothic" w:eastAsia="Times New Roman" w:hAnsi="Century Gothic" w:cs="Calibri"/>
                <w:color w:val="000000"/>
                <w:sz w:val="18"/>
                <w:szCs w:val="18"/>
              </w:rPr>
              <w:t>Define the roles and responsibilities of the intermediary in coordinating the flow of electricity and managing financial settlements.</w:t>
            </w:r>
          </w:p>
        </w:tc>
        <w:tc>
          <w:tcPr>
            <w:tcW w:w="2552" w:type="dxa"/>
            <w:vMerge/>
            <w:tcBorders>
              <w:top w:val="single" w:sz="4" w:space="0" w:color="auto"/>
              <w:left w:val="nil"/>
              <w:bottom w:val="single" w:sz="4" w:space="0" w:color="000000"/>
              <w:right w:val="single" w:sz="4" w:space="0" w:color="auto"/>
            </w:tcBorders>
            <w:shd w:val="clear" w:color="auto" w:fill="auto"/>
            <w:vAlign w:val="center"/>
            <w:hideMark/>
          </w:tcPr>
          <w:p w14:paraId="57BED0AD" w14:textId="77777777" w:rsidR="00DC09AA" w:rsidRPr="007228A6" w:rsidRDefault="00DC09AA" w:rsidP="00DC09AA">
            <w:pPr>
              <w:spacing w:after="0" w:line="240" w:lineRule="auto"/>
              <w:rPr>
                <w:rFonts w:ascii="Century Gothic" w:eastAsia="Times New Roman" w:hAnsi="Century Gothic" w:cs="Calibri"/>
                <w:color w:val="000000"/>
                <w:sz w:val="18"/>
                <w:szCs w:val="18"/>
              </w:rPr>
            </w:pPr>
          </w:p>
        </w:tc>
      </w:tr>
      <w:tr w:rsidR="00DC09AA" w:rsidRPr="00D30305" w14:paraId="763759CB" w14:textId="77777777" w:rsidTr="00831A39">
        <w:trPr>
          <w:trHeight w:val="600"/>
        </w:trPr>
        <w:tc>
          <w:tcPr>
            <w:tcW w:w="1702" w:type="dxa"/>
            <w:vMerge/>
            <w:tcBorders>
              <w:top w:val="single" w:sz="4" w:space="0" w:color="auto"/>
              <w:left w:val="single" w:sz="4" w:space="0" w:color="auto"/>
              <w:bottom w:val="single" w:sz="4" w:space="0" w:color="000000"/>
              <w:right w:val="nil"/>
            </w:tcBorders>
            <w:shd w:val="clear" w:color="auto" w:fill="D9D9D9" w:themeFill="background1" w:themeFillShade="D9"/>
            <w:vAlign w:val="center"/>
            <w:hideMark/>
          </w:tcPr>
          <w:p w14:paraId="2CC63DD6" w14:textId="77777777" w:rsidR="00DC09AA" w:rsidRPr="007228A6" w:rsidRDefault="00DC09AA" w:rsidP="00DC09AA">
            <w:pPr>
              <w:spacing w:after="0" w:line="240" w:lineRule="auto"/>
              <w:rPr>
                <w:rFonts w:ascii="Century Gothic" w:eastAsia="Times New Roman" w:hAnsi="Century Gothic" w:cs="Calibri"/>
                <w:color w:val="000000"/>
                <w:sz w:val="18"/>
                <w:szCs w:val="18"/>
              </w:rPr>
            </w:pPr>
          </w:p>
        </w:tc>
        <w:tc>
          <w:tcPr>
            <w:tcW w:w="4672" w:type="dxa"/>
            <w:tcBorders>
              <w:top w:val="nil"/>
              <w:left w:val="single" w:sz="4" w:space="0" w:color="auto"/>
              <w:bottom w:val="single" w:sz="4" w:space="0" w:color="auto"/>
              <w:right w:val="single" w:sz="4" w:space="0" w:color="auto"/>
            </w:tcBorders>
            <w:shd w:val="clear" w:color="auto" w:fill="auto"/>
            <w:hideMark/>
          </w:tcPr>
          <w:p w14:paraId="4C3F0D17" w14:textId="77777777" w:rsidR="00DC09AA" w:rsidRPr="007228A6" w:rsidRDefault="00DC09AA" w:rsidP="00DC09AA">
            <w:pPr>
              <w:spacing w:after="0" w:line="240" w:lineRule="auto"/>
              <w:rPr>
                <w:rFonts w:ascii="Century Gothic" w:eastAsia="Times New Roman" w:hAnsi="Century Gothic" w:cs="Calibri"/>
                <w:color w:val="000000"/>
                <w:sz w:val="18"/>
                <w:szCs w:val="18"/>
              </w:rPr>
            </w:pPr>
            <w:r w:rsidRPr="007228A6">
              <w:rPr>
                <w:rFonts w:ascii="Century Gothic" w:eastAsia="Times New Roman" w:hAnsi="Century Gothic" w:cs="Calibri"/>
                <w:color w:val="000000"/>
                <w:sz w:val="18"/>
                <w:szCs w:val="18"/>
              </w:rPr>
              <w:t>Specify the payment terms, remuneration mechanisms, and transactional procedures.</w:t>
            </w:r>
          </w:p>
        </w:tc>
        <w:tc>
          <w:tcPr>
            <w:tcW w:w="2552" w:type="dxa"/>
            <w:vMerge/>
            <w:tcBorders>
              <w:top w:val="single" w:sz="4" w:space="0" w:color="auto"/>
              <w:left w:val="nil"/>
              <w:bottom w:val="single" w:sz="4" w:space="0" w:color="000000"/>
              <w:right w:val="single" w:sz="4" w:space="0" w:color="auto"/>
            </w:tcBorders>
            <w:shd w:val="clear" w:color="auto" w:fill="auto"/>
            <w:vAlign w:val="center"/>
            <w:hideMark/>
          </w:tcPr>
          <w:p w14:paraId="29E5F6BC" w14:textId="77777777" w:rsidR="00DC09AA" w:rsidRPr="007228A6" w:rsidRDefault="00DC09AA" w:rsidP="00DC09AA">
            <w:pPr>
              <w:spacing w:after="0" w:line="240" w:lineRule="auto"/>
              <w:rPr>
                <w:rFonts w:ascii="Century Gothic" w:eastAsia="Times New Roman" w:hAnsi="Century Gothic" w:cs="Calibri"/>
                <w:color w:val="000000"/>
                <w:sz w:val="18"/>
                <w:szCs w:val="18"/>
              </w:rPr>
            </w:pPr>
          </w:p>
        </w:tc>
      </w:tr>
      <w:tr w:rsidR="00DC09AA" w:rsidRPr="00D30305" w14:paraId="38030B80" w14:textId="77777777" w:rsidTr="00831A39">
        <w:trPr>
          <w:trHeight w:val="600"/>
        </w:trPr>
        <w:tc>
          <w:tcPr>
            <w:tcW w:w="1702" w:type="dxa"/>
            <w:vMerge/>
            <w:tcBorders>
              <w:top w:val="single" w:sz="4" w:space="0" w:color="auto"/>
              <w:left w:val="single" w:sz="4" w:space="0" w:color="auto"/>
              <w:bottom w:val="single" w:sz="4" w:space="0" w:color="000000"/>
              <w:right w:val="nil"/>
            </w:tcBorders>
            <w:shd w:val="clear" w:color="auto" w:fill="D9D9D9" w:themeFill="background1" w:themeFillShade="D9"/>
            <w:vAlign w:val="center"/>
            <w:hideMark/>
          </w:tcPr>
          <w:p w14:paraId="447CB63C" w14:textId="77777777" w:rsidR="00DC09AA" w:rsidRPr="007228A6" w:rsidRDefault="00DC09AA" w:rsidP="00DC09AA">
            <w:pPr>
              <w:spacing w:after="0" w:line="240" w:lineRule="auto"/>
              <w:rPr>
                <w:rFonts w:ascii="Century Gothic" w:eastAsia="Times New Roman" w:hAnsi="Century Gothic" w:cs="Calibri"/>
                <w:color w:val="000000"/>
                <w:sz w:val="18"/>
                <w:szCs w:val="18"/>
              </w:rPr>
            </w:pPr>
          </w:p>
        </w:tc>
        <w:tc>
          <w:tcPr>
            <w:tcW w:w="4672" w:type="dxa"/>
            <w:tcBorders>
              <w:top w:val="nil"/>
              <w:left w:val="single" w:sz="4" w:space="0" w:color="auto"/>
              <w:bottom w:val="single" w:sz="4" w:space="0" w:color="auto"/>
              <w:right w:val="single" w:sz="4" w:space="0" w:color="auto"/>
            </w:tcBorders>
            <w:shd w:val="clear" w:color="auto" w:fill="auto"/>
            <w:hideMark/>
          </w:tcPr>
          <w:p w14:paraId="7F67EE70" w14:textId="77777777" w:rsidR="00DC09AA" w:rsidRPr="007228A6" w:rsidRDefault="00DC09AA" w:rsidP="00DC09AA">
            <w:pPr>
              <w:spacing w:after="0" w:line="240" w:lineRule="auto"/>
              <w:rPr>
                <w:rFonts w:ascii="Century Gothic" w:eastAsia="Times New Roman" w:hAnsi="Century Gothic" w:cs="Calibri"/>
                <w:color w:val="000000"/>
                <w:sz w:val="18"/>
                <w:szCs w:val="18"/>
              </w:rPr>
            </w:pPr>
            <w:r w:rsidRPr="007228A6">
              <w:rPr>
                <w:rFonts w:ascii="Century Gothic" w:eastAsia="Times New Roman" w:hAnsi="Century Gothic" w:cs="Calibri"/>
                <w:color w:val="000000"/>
                <w:sz w:val="18"/>
                <w:szCs w:val="18"/>
              </w:rPr>
              <w:t>Address the rights and obligations of the intermediary and the wheeling parties.</w:t>
            </w:r>
          </w:p>
        </w:tc>
        <w:tc>
          <w:tcPr>
            <w:tcW w:w="2552" w:type="dxa"/>
            <w:vMerge/>
            <w:tcBorders>
              <w:top w:val="single" w:sz="4" w:space="0" w:color="auto"/>
              <w:left w:val="nil"/>
              <w:bottom w:val="single" w:sz="4" w:space="0" w:color="000000"/>
              <w:right w:val="single" w:sz="4" w:space="0" w:color="auto"/>
            </w:tcBorders>
            <w:shd w:val="clear" w:color="auto" w:fill="auto"/>
            <w:vAlign w:val="center"/>
            <w:hideMark/>
          </w:tcPr>
          <w:p w14:paraId="51334C4D" w14:textId="77777777" w:rsidR="00DC09AA" w:rsidRPr="007228A6" w:rsidRDefault="00DC09AA" w:rsidP="00DC09AA">
            <w:pPr>
              <w:spacing w:after="0" w:line="240" w:lineRule="auto"/>
              <w:rPr>
                <w:rFonts w:ascii="Century Gothic" w:eastAsia="Times New Roman" w:hAnsi="Century Gothic" w:cs="Calibri"/>
                <w:color w:val="000000"/>
                <w:sz w:val="18"/>
                <w:szCs w:val="18"/>
              </w:rPr>
            </w:pPr>
          </w:p>
        </w:tc>
      </w:tr>
      <w:tr w:rsidR="00DC09AA" w:rsidRPr="00D30305" w14:paraId="7BB71512" w14:textId="77777777" w:rsidTr="00831A39">
        <w:trPr>
          <w:trHeight w:val="600"/>
        </w:trPr>
        <w:tc>
          <w:tcPr>
            <w:tcW w:w="1702" w:type="dxa"/>
            <w:vMerge/>
            <w:tcBorders>
              <w:top w:val="single" w:sz="4" w:space="0" w:color="auto"/>
              <w:left w:val="single" w:sz="4" w:space="0" w:color="auto"/>
              <w:bottom w:val="single" w:sz="4" w:space="0" w:color="000000"/>
              <w:right w:val="nil"/>
            </w:tcBorders>
            <w:shd w:val="clear" w:color="auto" w:fill="D9D9D9" w:themeFill="background1" w:themeFillShade="D9"/>
            <w:vAlign w:val="center"/>
            <w:hideMark/>
          </w:tcPr>
          <w:p w14:paraId="67DD0C0F" w14:textId="77777777" w:rsidR="00DC09AA" w:rsidRPr="007228A6" w:rsidRDefault="00DC09AA" w:rsidP="00DC09AA">
            <w:pPr>
              <w:spacing w:after="0" w:line="240" w:lineRule="auto"/>
              <w:rPr>
                <w:rFonts w:ascii="Century Gothic" w:eastAsia="Times New Roman" w:hAnsi="Century Gothic" w:cs="Calibri"/>
                <w:color w:val="000000"/>
                <w:sz w:val="18"/>
                <w:szCs w:val="18"/>
              </w:rPr>
            </w:pPr>
          </w:p>
        </w:tc>
        <w:tc>
          <w:tcPr>
            <w:tcW w:w="4672" w:type="dxa"/>
            <w:tcBorders>
              <w:top w:val="nil"/>
              <w:left w:val="single" w:sz="4" w:space="0" w:color="auto"/>
              <w:bottom w:val="single" w:sz="4" w:space="0" w:color="auto"/>
              <w:right w:val="single" w:sz="4" w:space="0" w:color="auto"/>
            </w:tcBorders>
            <w:shd w:val="clear" w:color="auto" w:fill="auto"/>
            <w:hideMark/>
          </w:tcPr>
          <w:p w14:paraId="26247E22" w14:textId="77777777" w:rsidR="00DC09AA" w:rsidRPr="007228A6" w:rsidRDefault="00DC09AA" w:rsidP="00DC09AA">
            <w:pPr>
              <w:spacing w:after="0" w:line="240" w:lineRule="auto"/>
              <w:rPr>
                <w:rFonts w:ascii="Century Gothic" w:eastAsia="Times New Roman" w:hAnsi="Century Gothic" w:cs="Calibri"/>
                <w:color w:val="000000"/>
                <w:sz w:val="18"/>
                <w:szCs w:val="18"/>
              </w:rPr>
            </w:pPr>
            <w:r w:rsidRPr="007228A6">
              <w:rPr>
                <w:rFonts w:ascii="Century Gothic" w:eastAsia="Times New Roman" w:hAnsi="Century Gothic" w:cs="Calibri"/>
                <w:color w:val="000000"/>
                <w:sz w:val="18"/>
                <w:szCs w:val="18"/>
              </w:rPr>
              <w:t>Include provisions for scheduling, curtailment, force majeure events, and dispute resolution mechanisms.</w:t>
            </w:r>
          </w:p>
        </w:tc>
        <w:tc>
          <w:tcPr>
            <w:tcW w:w="2552" w:type="dxa"/>
            <w:vMerge/>
            <w:tcBorders>
              <w:top w:val="single" w:sz="4" w:space="0" w:color="auto"/>
              <w:left w:val="nil"/>
              <w:bottom w:val="single" w:sz="4" w:space="0" w:color="000000"/>
              <w:right w:val="single" w:sz="4" w:space="0" w:color="auto"/>
            </w:tcBorders>
            <w:shd w:val="clear" w:color="auto" w:fill="auto"/>
            <w:vAlign w:val="center"/>
            <w:hideMark/>
          </w:tcPr>
          <w:p w14:paraId="61079A4B" w14:textId="77777777" w:rsidR="00DC09AA" w:rsidRPr="007228A6" w:rsidRDefault="00DC09AA" w:rsidP="00DC09AA">
            <w:pPr>
              <w:spacing w:after="0" w:line="240" w:lineRule="auto"/>
              <w:rPr>
                <w:rFonts w:ascii="Century Gothic" w:eastAsia="Times New Roman" w:hAnsi="Century Gothic" w:cs="Calibri"/>
                <w:color w:val="000000"/>
                <w:sz w:val="18"/>
                <w:szCs w:val="18"/>
              </w:rPr>
            </w:pPr>
          </w:p>
        </w:tc>
      </w:tr>
      <w:tr w:rsidR="00DC09AA" w:rsidRPr="00D30305" w14:paraId="043E027C" w14:textId="77777777" w:rsidTr="00831A39">
        <w:trPr>
          <w:trHeight w:val="600"/>
        </w:trPr>
        <w:tc>
          <w:tcPr>
            <w:tcW w:w="1702" w:type="dxa"/>
            <w:vMerge w:val="restart"/>
            <w:tcBorders>
              <w:top w:val="nil"/>
              <w:left w:val="single" w:sz="4" w:space="0" w:color="auto"/>
              <w:bottom w:val="single" w:sz="4" w:space="0" w:color="000000"/>
              <w:right w:val="nil"/>
            </w:tcBorders>
            <w:shd w:val="clear" w:color="auto" w:fill="D9D9D9" w:themeFill="background1" w:themeFillShade="D9"/>
            <w:vAlign w:val="center"/>
            <w:hideMark/>
          </w:tcPr>
          <w:p w14:paraId="39B04DF9" w14:textId="77777777" w:rsidR="00DC09AA" w:rsidRPr="007228A6" w:rsidRDefault="00DC09AA" w:rsidP="00DC09AA">
            <w:pPr>
              <w:spacing w:after="0" w:line="240" w:lineRule="auto"/>
              <w:jc w:val="center"/>
              <w:rPr>
                <w:rFonts w:ascii="Century Gothic" w:eastAsia="Times New Roman" w:hAnsi="Century Gothic" w:cs="Calibri"/>
                <w:color w:val="000000"/>
                <w:sz w:val="18"/>
                <w:szCs w:val="18"/>
              </w:rPr>
            </w:pPr>
            <w:r w:rsidRPr="00F80394">
              <w:rPr>
                <w:rFonts w:ascii="Century Gothic" w:eastAsia="Times New Roman" w:hAnsi="Century Gothic" w:cs="Calibri"/>
                <w:color w:val="000000"/>
                <w:sz w:val="18"/>
                <w:szCs w:val="18"/>
              </w:rPr>
              <w:t>Agreement between Transmission and Distribution Licensees:</w:t>
            </w:r>
          </w:p>
        </w:tc>
        <w:tc>
          <w:tcPr>
            <w:tcW w:w="4672" w:type="dxa"/>
            <w:tcBorders>
              <w:top w:val="nil"/>
              <w:left w:val="single" w:sz="4" w:space="0" w:color="auto"/>
              <w:bottom w:val="single" w:sz="4" w:space="0" w:color="auto"/>
              <w:right w:val="single" w:sz="4" w:space="0" w:color="auto"/>
            </w:tcBorders>
            <w:shd w:val="clear" w:color="auto" w:fill="auto"/>
            <w:hideMark/>
          </w:tcPr>
          <w:p w14:paraId="3BAC1BCE" w14:textId="77777777" w:rsidR="00DC09AA" w:rsidRPr="007228A6" w:rsidRDefault="00DC09AA" w:rsidP="00DC09AA">
            <w:pPr>
              <w:spacing w:after="0" w:line="240" w:lineRule="auto"/>
              <w:rPr>
                <w:rFonts w:ascii="Century Gothic" w:eastAsia="Times New Roman" w:hAnsi="Century Gothic" w:cs="Calibri"/>
                <w:color w:val="000000"/>
                <w:sz w:val="18"/>
                <w:szCs w:val="18"/>
              </w:rPr>
            </w:pPr>
            <w:r w:rsidRPr="007228A6">
              <w:rPr>
                <w:rFonts w:ascii="Century Gothic" w:eastAsia="Times New Roman" w:hAnsi="Century Gothic" w:cs="Calibri"/>
                <w:color w:val="000000"/>
                <w:sz w:val="18"/>
                <w:szCs w:val="18"/>
              </w:rPr>
              <w:t>Define the terms and conditions for the transmission licensee (responsible for the bulk electricity transportation) and the distribution licensee (responsible for delivering electricity to end-users) regarding the wheeling of electricity between their respective networks.</w:t>
            </w:r>
          </w:p>
        </w:tc>
        <w:tc>
          <w:tcPr>
            <w:tcW w:w="2552" w:type="dxa"/>
            <w:vMerge w:val="restart"/>
            <w:tcBorders>
              <w:top w:val="nil"/>
              <w:left w:val="nil"/>
              <w:bottom w:val="single" w:sz="4" w:space="0" w:color="000000"/>
              <w:right w:val="single" w:sz="4" w:space="0" w:color="auto"/>
            </w:tcBorders>
            <w:shd w:val="clear" w:color="auto" w:fill="auto"/>
            <w:hideMark/>
          </w:tcPr>
          <w:p w14:paraId="54B37936" w14:textId="77777777" w:rsidR="00DC09AA" w:rsidRPr="007228A6" w:rsidRDefault="00DC09AA" w:rsidP="00DC09AA">
            <w:pPr>
              <w:spacing w:after="0" w:line="240" w:lineRule="auto"/>
              <w:rPr>
                <w:rFonts w:ascii="Century Gothic" w:eastAsia="Times New Roman" w:hAnsi="Century Gothic" w:cs="Calibri"/>
                <w:color w:val="000000"/>
                <w:sz w:val="18"/>
                <w:szCs w:val="18"/>
              </w:rPr>
            </w:pPr>
            <w:r w:rsidRPr="007228A6">
              <w:rPr>
                <w:rFonts w:ascii="Century Gothic" w:eastAsia="Times New Roman" w:hAnsi="Century Gothic" w:cs="Calibri"/>
                <w:color w:val="000000"/>
                <w:sz w:val="18"/>
                <w:szCs w:val="18"/>
              </w:rPr>
              <w:t xml:space="preserve">The negotiation and drafting of the agreement between transmission and distribution licensees can involve complex technical and regulatory considerations. The timeframe can vary significantly depending on the jurisdiction, regulatory processes, and any necessary consultations. </w:t>
            </w:r>
            <w:r>
              <w:rPr>
                <w:rFonts w:ascii="Century Gothic" w:eastAsia="Times New Roman" w:hAnsi="Century Gothic" w:cs="Calibri"/>
                <w:color w:val="000000"/>
                <w:sz w:val="18"/>
                <w:szCs w:val="18"/>
              </w:rPr>
              <w:t>It should range between 2 to 4 weeks</w:t>
            </w:r>
            <w:r w:rsidRPr="007228A6">
              <w:rPr>
                <w:rFonts w:ascii="Century Gothic" w:eastAsia="Times New Roman" w:hAnsi="Century Gothic" w:cs="Calibri"/>
                <w:color w:val="000000"/>
                <w:sz w:val="18"/>
                <w:szCs w:val="18"/>
              </w:rPr>
              <w:t>.</w:t>
            </w:r>
          </w:p>
        </w:tc>
      </w:tr>
      <w:tr w:rsidR="00DC09AA" w:rsidRPr="00D30305" w14:paraId="2EB12B39" w14:textId="77777777" w:rsidTr="00831A39">
        <w:trPr>
          <w:trHeight w:val="600"/>
        </w:trPr>
        <w:tc>
          <w:tcPr>
            <w:tcW w:w="1702" w:type="dxa"/>
            <w:vMerge/>
            <w:tcBorders>
              <w:top w:val="nil"/>
              <w:left w:val="single" w:sz="4" w:space="0" w:color="auto"/>
              <w:bottom w:val="single" w:sz="4" w:space="0" w:color="000000"/>
              <w:right w:val="nil"/>
            </w:tcBorders>
            <w:shd w:val="clear" w:color="auto" w:fill="D9D9D9" w:themeFill="background1" w:themeFillShade="D9"/>
            <w:vAlign w:val="center"/>
            <w:hideMark/>
          </w:tcPr>
          <w:p w14:paraId="59F1F7CE" w14:textId="77777777" w:rsidR="00DC09AA" w:rsidRPr="007228A6" w:rsidRDefault="00DC09AA" w:rsidP="00DC09AA">
            <w:pPr>
              <w:spacing w:after="0" w:line="240" w:lineRule="auto"/>
              <w:rPr>
                <w:rFonts w:ascii="Century Gothic" w:eastAsia="Times New Roman" w:hAnsi="Century Gothic" w:cs="Calibri"/>
                <w:color w:val="000000"/>
                <w:sz w:val="18"/>
                <w:szCs w:val="18"/>
              </w:rPr>
            </w:pPr>
          </w:p>
        </w:tc>
        <w:tc>
          <w:tcPr>
            <w:tcW w:w="4672" w:type="dxa"/>
            <w:tcBorders>
              <w:top w:val="nil"/>
              <w:left w:val="single" w:sz="4" w:space="0" w:color="auto"/>
              <w:bottom w:val="single" w:sz="4" w:space="0" w:color="auto"/>
              <w:right w:val="single" w:sz="4" w:space="0" w:color="auto"/>
            </w:tcBorders>
            <w:shd w:val="clear" w:color="auto" w:fill="auto"/>
            <w:hideMark/>
          </w:tcPr>
          <w:p w14:paraId="32BC92D9" w14:textId="77777777" w:rsidR="00DC09AA" w:rsidRPr="007228A6" w:rsidRDefault="00DC09AA" w:rsidP="00DC09AA">
            <w:pPr>
              <w:spacing w:after="0" w:line="240" w:lineRule="auto"/>
              <w:rPr>
                <w:rFonts w:ascii="Century Gothic" w:eastAsia="Times New Roman" w:hAnsi="Century Gothic" w:cs="Calibri"/>
                <w:color w:val="000000"/>
                <w:sz w:val="18"/>
                <w:szCs w:val="18"/>
              </w:rPr>
            </w:pPr>
            <w:r w:rsidRPr="007228A6">
              <w:rPr>
                <w:rFonts w:ascii="Century Gothic" w:eastAsia="Times New Roman" w:hAnsi="Century Gothic" w:cs="Calibri"/>
                <w:color w:val="000000"/>
                <w:sz w:val="18"/>
                <w:szCs w:val="18"/>
              </w:rPr>
              <w:t>Specify the wheeling charges, payment terms, and settlement mechanisms.</w:t>
            </w:r>
          </w:p>
        </w:tc>
        <w:tc>
          <w:tcPr>
            <w:tcW w:w="2552" w:type="dxa"/>
            <w:vMerge/>
            <w:tcBorders>
              <w:top w:val="nil"/>
              <w:left w:val="nil"/>
              <w:bottom w:val="single" w:sz="4" w:space="0" w:color="000000"/>
              <w:right w:val="single" w:sz="4" w:space="0" w:color="auto"/>
            </w:tcBorders>
            <w:shd w:val="clear" w:color="auto" w:fill="auto"/>
            <w:vAlign w:val="center"/>
            <w:hideMark/>
          </w:tcPr>
          <w:p w14:paraId="075A4FB9" w14:textId="77777777" w:rsidR="00DC09AA" w:rsidRPr="007228A6" w:rsidRDefault="00DC09AA" w:rsidP="00DC09AA">
            <w:pPr>
              <w:spacing w:after="0" w:line="240" w:lineRule="auto"/>
              <w:rPr>
                <w:rFonts w:ascii="Century Gothic" w:eastAsia="Times New Roman" w:hAnsi="Century Gothic" w:cs="Calibri"/>
                <w:color w:val="000000"/>
                <w:sz w:val="18"/>
                <w:szCs w:val="18"/>
              </w:rPr>
            </w:pPr>
          </w:p>
        </w:tc>
      </w:tr>
      <w:tr w:rsidR="00DC09AA" w:rsidRPr="00D30305" w14:paraId="34D02465" w14:textId="77777777" w:rsidTr="00831A39">
        <w:trPr>
          <w:trHeight w:val="600"/>
        </w:trPr>
        <w:tc>
          <w:tcPr>
            <w:tcW w:w="1702" w:type="dxa"/>
            <w:vMerge/>
            <w:tcBorders>
              <w:top w:val="nil"/>
              <w:left w:val="single" w:sz="4" w:space="0" w:color="auto"/>
              <w:bottom w:val="single" w:sz="4" w:space="0" w:color="000000"/>
              <w:right w:val="nil"/>
            </w:tcBorders>
            <w:shd w:val="clear" w:color="auto" w:fill="D9D9D9" w:themeFill="background1" w:themeFillShade="D9"/>
            <w:vAlign w:val="center"/>
            <w:hideMark/>
          </w:tcPr>
          <w:p w14:paraId="5DD3FA54" w14:textId="77777777" w:rsidR="00DC09AA" w:rsidRPr="007228A6" w:rsidRDefault="00DC09AA" w:rsidP="00DC09AA">
            <w:pPr>
              <w:spacing w:after="0" w:line="240" w:lineRule="auto"/>
              <w:rPr>
                <w:rFonts w:ascii="Century Gothic" w:eastAsia="Times New Roman" w:hAnsi="Century Gothic" w:cs="Calibri"/>
                <w:color w:val="000000"/>
                <w:sz w:val="18"/>
                <w:szCs w:val="18"/>
              </w:rPr>
            </w:pPr>
          </w:p>
        </w:tc>
        <w:tc>
          <w:tcPr>
            <w:tcW w:w="4672" w:type="dxa"/>
            <w:tcBorders>
              <w:top w:val="nil"/>
              <w:left w:val="single" w:sz="4" w:space="0" w:color="auto"/>
              <w:bottom w:val="single" w:sz="4" w:space="0" w:color="auto"/>
              <w:right w:val="single" w:sz="4" w:space="0" w:color="auto"/>
            </w:tcBorders>
            <w:shd w:val="clear" w:color="auto" w:fill="auto"/>
            <w:hideMark/>
          </w:tcPr>
          <w:p w14:paraId="28375371" w14:textId="77777777" w:rsidR="00DC09AA" w:rsidRPr="007228A6" w:rsidRDefault="00DC09AA" w:rsidP="00DC09AA">
            <w:pPr>
              <w:spacing w:after="0" w:line="240" w:lineRule="auto"/>
              <w:rPr>
                <w:rFonts w:ascii="Century Gothic" w:eastAsia="Times New Roman" w:hAnsi="Century Gothic" w:cs="Calibri"/>
                <w:color w:val="000000"/>
                <w:sz w:val="18"/>
                <w:szCs w:val="18"/>
              </w:rPr>
            </w:pPr>
            <w:r w:rsidRPr="007228A6">
              <w:rPr>
                <w:rFonts w:ascii="Century Gothic" w:eastAsia="Times New Roman" w:hAnsi="Century Gothic" w:cs="Calibri"/>
                <w:color w:val="000000"/>
                <w:sz w:val="18"/>
                <w:szCs w:val="18"/>
              </w:rPr>
              <w:t>Determine the technical requirements, grid connectivity standards, and metering arrangements.</w:t>
            </w:r>
          </w:p>
        </w:tc>
        <w:tc>
          <w:tcPr>
            <w:tcW w:w="2552" w:type="dxa"/>
            <w:vMerge/>
            <w:tcBorders>
              <w:top w:val="nil"/>
              <w:left w:val="nil"/>
              <w:bottom w:val="single" w:sz="4" w:space="0" w:color="000000"/>
              <w:right w:val="single" w:sz="4" w:space="0" w:color="auto"/>
            </w:tcBorders>
            <w:shd w:val="clear" w:color="auto" w:fill="auto"/>
            <w:vAlign w:val="center"/>
            <w:hideMark/>
          </w:tcPr>
          <w:p w14:paraId="6D88D13E" w14:textId="77777777" w:rsidR="00DC09AA" w:rsidRPr="007228A6" w:rsidRDefault="00DC09AA" w:rsidP="00DC09AA">
            <w:pPr>
              <w:spacing w:after="0" w:line="240" w:lineRule="auto"/>
              <w:rPr>
                <w:rFonts w:ascii="Century Gothic" w:eastAsia="Times New Roman" w:hAnsi="Century Gothic" w:cs="Calibri"/>
                <w:color w:val="000000"/>
                <w:sz w:val="18"/>
                <w:szCs w:val="18"/>
              </w:rPr>
            </w:pPr>
          </w:p>
        </w:tc>
      </w:tr>
      <w:tr w:rsidR="00DC09AA" w:rsidRPr="00D30305" w14:paraId="1E30E68E" w14:textId="77777777" w:rsidTr="00831A39">
        <w:trPr>
          <w:trHeight w:val="600"/>
        </w:trPr>
        <w:tc>
          <w:tcPr>
            <w:tcW w:w="1702" w:type="dxa"/>
            <w:vMerge/>
            <w:tcBorders>
              <w:top w:val="nil"/>
              <w:left w:val="single" w:sz="4" w:space="0" w:color="auto"/>
              <w:bottom w:val="single" w:sz="4" w:space="0" w:color="000000"/>
              <w:right w:val="nil"/>
            </w:tcBorders>
            <w:shd w:val="clear" w:color="auto" w:fill="D9D9D9" w:themeFill="background1" w:themeFillShade="D9"/>
            <w:vAlign w:val="center"/>
            <w:hideMark/>
          </w:tcPr>
          <w:p w14:paraId="30110DAF" w14:textId="77777777" w:rsidR="00DC09AA" w:rsidRPr="007228A6" w:rsidRDefault="00DC09AA" w:rsidP="00DC09AA">
            <w:pPr>
              <w:spacing w:after="0" w:line="240" w:lineRule="auto"/>
              <w:rPr>
                <w:rFonts w:ascii="Century Gothic" w:eastAsia="Times New Roman" w:hAnsi="Century Gothic" w:cs="Calibri"/>
                <w:color w:val="000000"/>
                <w:sz w:val="18"/>
                <w:szCs w:val="18"/>
              </w:rPr>
            </w:pPr>
          </w:p>
        </w:tc>
        <w:tc>
          <w:tcPr>
            <w:tcW w:w="4672" w:type="dxa"/>
            <w:tcBorders>
              <w:top w:val="nil"/>
              <w:left w:val="single" w:sz="4" w:space="0" w:color="auto"/>
              <w:bottom w:val="single" w:sz="4" w:space="0" w:color="auto"/>
              <w:right w:val="single" w:sz="4" w:space="0" w:color="auto"/>
            </w:tcBorders>
            <w:shd w:val="clear" w:color="auto" w:fill="auto"/>
            <w:hideMark/>
          </w:tcPr>
          <w:p w14:paraId="1946C7FF" w14:textId="77777777" w:rsidR="00DC09AA" w:rsidRPr="007228A6" w:rsidRDefault="00DC09AA" w:rsidP="00DC09AA">
            <w:pPr>
              <w:spacing w:after="0" w:line="240" w:lineRule="auto"/>
              <w:rPr>
                <w:rFonts w:ascii="Century Gothic" w:eastAsia="Times New Roman" w:hAnsi="Century Gothic" w:cs="Calibri"/>
                <w:color w:val="000000"/>
                <w:sz w:val="18"/>
                <w:szCs w:val="18"/>
              </w:rPr>
            </w:pPr>
            <w:r w:rsidRPr="007228A6">
              <w:rPr>
                <w:rFonts w:ascii="Century Gothic" w:eastAsia="Times New Roman" w:hAnsi="Century Gothic" w:cs="Calibri"/>
                <w:color w:val="000000"/>
                <w:sz w:val="18"/>
                <w:szCs w:val="18"/>
              </w:rPr>
              <w:t>Address the rights and obligations of both licensees in ensuring reliable and efficient electricity transmission.</w:t>
            </w:r>
          </w:p>
        </w:tc>
        <w:tc>
          <w:tcPr>
            <w:tcW w:w="2552" w:type="dxa"/>
            <w:vMerge/>
            <w:tcBorders>
              <w:top w:val="nil"/>
              <w:left w:val="nil"/>
              <w:bottom w:val="single" w:sz="4" w:space="0" w:color="000000"/>
              <w:right w:val="single" w:sz="4" w:space="0" w:color="auto"/>
            </w:tcBorders>
            <w:shd w:val="clear" w:color="auto" w:fill="auto"/>
            <w:vAlign w:val="center"/>
            <w:hideMark/>
          </w:tcPr>
          <w:p w14:paraId="4B7337CF" w14:textId="77777777" w:rsidR="00DC09AA" w:rsidRPr="007228A6" w:rsidRDefault="00DC09AA" w:rsidP="00DC09AA">
            <w:pPr>
              <w:spacing w:after="0" w:line="240" w:lineRule="auto"/>
              <w:rPr>
                <w:rFonts w:ascii="Century Gothic" w:eastAsia="Times New Roman" w:hAnsi="Century Gothic" w:cs="Calibri"/>
                <w:color w:val="000000"/>
                <w:sz w:val="18"/>
                <w:szCs w:val="18"/>
              </w:rPr>
            </w:pPr>
          </w:p>
        </w:tc>
      </w:tr>
      <w:tr w:rsidR="00DC09AA" w:rsidRPr="00D30305" w14:paraId="771CD57B" w14:textId="77777777" w:rsidTr="00831A39">
        <w:trPr>
          <w:trHeight w:val="600"/>
        </w:trPr>
        <w:tc>
          <w:tcPr>
            <w:tcW w:w="1702" w:type="dxa"/>
            <w:vMerge/>
            <w:tcBorders>
              <w:top w:val="nil"/>
              <w:left w:val="single" w:sz="4" w:space="0" w:color="auto"/>
              <w:bottom w:val="single" w:sz="4" w:space="0" w:color="000000"/>
              <w:right w:val="nil"/>
            </w:tcBorders>
            <w:shd w:val="clear" w:color="auto" w:fill="D9D9D9" w:themeFill="background1" w:themeFillShade="D9"/>
            <w:vAlign w:val="center"/>
            <w:hideMark/>
          </w:tcPr>
          <w:p w14:paraId="55098DB5" w14:textId="77777777" w:rsidR="00DC09AA" w:rsidRPr="007228A6" w:rsidRDefault="00DC09AA" w:rsidP="00DC09AA">
            <w:pPr>
              <w:spacing w:after="0" w:line="240" w:lineRule="auto"/>
              <w:rPr>
                <w:rFonts w:ascii="Century Gothic" w:eastAsia="Times New Roman" w:hAnsi="Century Gothic" w:cs="Calibri"/>
                <w:color w:val="000000"/>
                <w:sz w:val="18"/>
                <w:szCs w:val="18"/>
              </w:rPr>
            </w:pPr>
          </w:p>
        </w:tc>
        <w:tc>
          <w:tcPr>
            <w:tcW w:w="4672" w:type="dxa"/>
            <w:tcBorders>
              <w:top w:val="nil"/>
              <w:left w:val="single" w:sz="4" w:space="0" w:color="auto"/>
              <w:bottom w:val="single" w:sz="4" w:space="0" w:color="auto"/>
              <w:right w:val="single" w:sz="4" w:space="0" w:color="auto"/>
            </w:tcBorders>
            <w:shd w:val="clear" w:color="auto" w:fill="auto"/>
            <w:hideMark/>
          </w:tcPr>
          <w:p w14:paraId="6A8E3477" w14:textId="77777777" w:rsidR="00DC09AA" w:rsidRPr="007228A6" w:rsidRDefault="00DC09AA" w:rsidP="00DC09AA">
            <w:pPr>
              <w:spacing w:after="0" w:line="240" w:lineRule="auto"/>
              <w:rPr>
                <w:rFonts w:ascii="Century Gothic" w:eastAsia="Times New Roman" w:hAnsi="Century Gothic" w:cs="Calibri"/>
                <w:color w:val="000000"/>
                <w:sz w:val="18"/>
                <w:szCs w:val="18"/>
              </w:rPr>
            </w:pPr>
            <w:r w:rsidRPr="007228A6">
              <w:rPr>
                <w:rFonts w:ascii="Century Gothic" w:eastAsia="Times New Roman" w:hAnsi="Century Gothic" w:cs="Calibri"/>
                <w:color w:val="000000"/>
                <w:sz w:val="18"/>
                <w:szCs w:val="18"/>
              </w:rPr>
              <w:t>Include provisions for scheduling, system operations, grid maintenance, and dispute resolution mechanisms.</w:t>
            </w:r>
          </w:p>
        </w:tc>
        <w:tc>
          <w:tcPr>
            <w:tcW w:w="2552" w:type="dxa"/>
            <w:vMerge/>
            <w:tcBorders>
              <w:top w:val="nil"/>
              <w:left w:val="nil"/>
              <w:bottom w:val="single" w:sz="4" w:space="0" w:color="000000"/>
              <w:right w:val="single" w:sz="4" w:space="0" w:color="auto"/>
            </w:tcBorders>
            <w:shd w:val="clear" w:color="auto" w:fill="auto"/>
            <w:vAlign w:val="center"/>
            <w:hideMark/>
          </w:tcPr>
          <w:p w14:paraId="6C7F9FA8" w14:textId="77777777" w:rsidR="00DC09AA" w:rsidRPr="007228A6" w:rsidRDefault="00DC09AA" w:rsidP="00DC09AA">
            <w:pPr>
              <w:spacing w:after="0" w:line="240" w:lineRule="auto"/>
              <w:rPr>
                <w:rFonts w:ascii="Century Gothic" w:eastAsia="Times New Roman" w:hAnsi="Century Gothic" w:cs="Calibri"/>
                <w:color w:val="000000"/>
                <w:sz w:val="18"/>
                <w:szCs w:val="18"/>
              </w:rPr>
            </w:pPr>
          </w:p>
        </w:tc>
      </w:tr>
    </w:tbl>
    <w:p w14:paraId="66054D0D" w14:textId="77777777" w:rsidR="00166A47" w:rsidRDefault="00166A47" w:rsidP="00166A47">
      <w:pPr>
        <w:pStyle w:val="BodyText"/>
        <w:rPr>
          <w:rFonts w:ascii="Century Gothic" w:hAnsi="Century Gothic" w:cs="Arial"/>
          <w:highlight w:val="yellow"/>
        </w:rPr>
      </w:pPr>
    </w:p>
    <w:p w14:paraId="7B9953E5" w14:textId="13EEA48E" w:rsidR="00EC58DD" w:rsidRPr="00E55368" w:rsidRDefault="00EC58DD" w:rsidP="00EC58DD">
      <w:pPr>
        <w:pStyle w:val="Heading1"/>
      </w:pPr>
      <w:bookmarkStart w:id="24" w:name="_Toc145484196"/>
      <w:r w:rsidRPr="00E55368">
        <w:t>Metering</w:t>
      </w:r>
      <w:r w:rsidR="001620EA">
        <w:t xml:space="preserve"> and </w:t>
      </w:r>
      <w:r w:rsidR="00014015">
        <w:t>Data</w:t>
      </w:r>
      <w:bookmarkEnd w:id="24"/>
    </w:p>
    <w:p w14:paraId="4BA7933C" w14:textId="77777777" w:rsidR="00554436" w:rsidRPr="00CB7974" w:rsidRDefault="00554436" w:rsidP="008127F1">
      <w:pPr>
        <w:shd w:val="clear" w:color="auto" w:fill="F2F2F2" w:themeFill="background1" w:themeFillShade="F2"/>
        <w:spacing w:before="120" w:line="240" w:lineRule="auto"/>
        <w:rPr>
          <w:rFonts w:ascii="Century Gothic" w:hAnsi="Century Gothic"/>
          <w:b/>
          <w:bCs/>
          <w:i/>
          <w:iCs/>
          <w:u w:val="single"/>
        </w:rPr>
      </w:pPr>
      <w:r w:rsidRPr="00493EF2">
        <w:rPr>
          <w:rFonts w:ascii="Segoe UI Emoji" w:hAnsi="Segoe UI Emoji" w:cs="Segoe UI Emoji"/>
        </w:rPr>
        <w:t>🔍</w:t>
      </w:r>
      <w:r w:rsidRPr="006D455C">
        <w:rPr>
          <w:rFonts w:ascii="Century Gothic" w:hAnsi="Century Gothic"/>
          <w:b/>
          <w:bCs/>
          <w:u w:val="single"/>
        </w:rPr>
        <w:t xml:space="preserve"> </w:t>
      </w:r>
      <w:r w:rsidRPr="00CB7974">
        <w:rPr>
          <w:rFonts w:ascii="Century Gothic" w:hAnsi="Century Gothic"/>
          <w:b/>
          <w:bCs/>
          <w:i/>
          <w:iCs/>
          <w:u w:val="single"/>
        </w:rPr>
        <w:t xml:space="preserve">Explanatory notes: </w:t>
      </w:r>
    </w:p>
    <w:p w14:paraId="10EB0952" w14:textId="62AC2AEB" w:rsidR="00554436" w:rsidRPr="00CB7974" w:rsidRDefault="00554436" w:rsidP="008127F1">
      <w:pPr>
        <w:pBdr>
          <w:top w:val="nil"/>
          <w:left w:val="nil"/>
          <w:bottom w:val="nil"/>
          <w:right w:val="nil"/>
          <w:between w:val="nil"/>
        </w:pBdr>
        <w:shd w:val="clear" w:color="auto" w:fill="F2F2F2" w:themeFill="background1" w:themeFillShade="F2"/>
        <w:rPr>
          <w:rFonts w:ascii="Century Gothic" w:hAnsi="Century Gothic"/>
          <w:i/>
          <w:iCs/>
          <w:color w:val="000000"/>
        </w:rPr>
      </w:pPr>
      <w:r w:rsidRPr="00CB7974">
        <w:rPr>
          <w:rFonts w:ascii="Century Gothic" w:hAnsi="Century Gothic"/>
          <w:i/>
          <w:iCs/>
          <w:color w:val="000000"/>
        </w:rPr>
        <w:t xml:space="preserve">The section on metering provides guidance on the metering requirements and considerations in the context of third-party wheeling. </w:t>
      </w:r>
      <w:r w:rsidR="00A56758">
        <w:rPr>
          <w:rFonts w:ascii="Century Gothic" w:hAnsi="Century Gothic"/>
          <w:i/>
          <w:iCs/>
          <w:color w:val="000000"/>
        </w:rPr>
        <w:t xml:space="preserve">The Municipality </w:t>
      </w:r>
      <w:r w:rsidRPr="00CB7974">
        <w:rPr>
          <w:rFonts w:ascii="Century Gothic" w:hAnsi="Century Gothic"/>
          <w:i/>
          <w:iCs/>
          <w:color w:val="000000"/>
        </w:rPr>
        <w:t>play a crucial role in ensuring proper metering practices and compliance with relevant standards</w:t>
      </w:r>
      <w:r w:rsidR="00634C09" w:rsidRPr="00CB7974">
        <w:rPr>
          <w:rFonts w:ascii="Century Gothic" w:hAnsi="Century Gothic"/>
          <w:i/>
          <w:iCs/>
          <w:color w:val="000000"/>
        </w:rPr>
        <w:t xml:space="preserve"> are adhered to by the relevant stakeholders within the wheeling transaction</w:t>
      </w:r>
      <w:r w:rsidRPr="00CB7974">
        <w:rPr>
          <w:rFonts w:ascii="Century Gothic" w:hAnsi="Century Gothic"/>
          <w:i/>
          <w:iCs/>
          <w:color w:val="000000"/>
        </w:rPr>
        <w:t>. It is worth noting the significance of two specific standards in South Africa:</w:t>
      </w:r>
    </w:p>
    <w:p w14:paraId="2EED909C" w14:textId="083A508D" w:rsidR="00554436" w:rsidRPr="00CB7974" w:rsidRDefault="00554436" w:rsidP="00871EE8">
      <w:pPr>
        <w:pStyle w:val="ListParagraph"/>
        <w:numPr>
          <w:ilvl w:val="0"/>
          <w:numId w:val="26"/>
        </w:numPr>
        <w:pBdr>
          <w:top w:val="nil"/>
          <w:left w:val="nil"/>
          <w:bottom w:val="nil"/>
          <w:right w:val="nil"/>
          <w:between w:val="nil"/>
        </w:pBdr>
        <w:shd w:val="clear" w:color="auto" w:fill="F2F2F2" w:themeFill="background1" w:themeFillShade="F2"/>
        <w:rPr>
          <w:rFonts w:ascii="Century Gothic" w:hAnsi="Century Gothic"/>
          <w:i/>
          <w:iCs/>
          <w:color w:val="000000"/>
        </w:rPr>
      </w:pPr>
      <w:r w:rsidRPr="00CB7974">
        <w:rPr>
          <w:rFonts w:ascii="Century Gothic" w:hAnsi="Century Gothic"/>
          <w:b/>
          <w:bCs/>
          <w:i/>
          <w:iCs/>
          <w:color w:val="000000"/>
        </w:rPr>
        <w:t>SANS 474/NRS 057:</w:t>
      </w:r>
      <w:r w:rsidRPr="00CB7974">
        <w:rPr>
          <w:rFonts w:ascii="Century Gothic" w:hAnsi="Century Gothic"/>
          <w:i/>
          <w:iCs/>
          <w:color w:val="000000"/>
        </w:rPr>
        <w:t xml:space="preserve"> Code of practice for electricity metering: This South African national standard establishes a code of practice for electricity metering. It outlines the requirements for the installation, commissioning, operation, maintenance, and management of electricity metering systems. The standard applies to all types of electricity meters used for billing purposes by Network Service Providers (NSPs) or other relevant parties. </w:t>
      </w:r>
      <w:r w:rsidR="00A56758">
        <w:rPr>
          <w:rFonts w:ascii="Century Gothic" w:hAnsi="Century Gothic"/>
          <w:i/>
          <w:iCs/>
          <w:color w:val="000000"/>
        </w:rPr>
        <w:t xml:space="preserve">The Municipality </w:t>
      </w:r>
      <w:r w:rsidRPr="00CB7974">
        <w:rPr>
          <w:rFonts w:ascii="Century Gothic" w:hAnsi="Century Gothic"/>
          <w:i/>
          <w:iCs/>
          <w:color w:val="000000"/>
        </w:rPr>
        <w:t>need to be aware of this standard and ensure that metering practices within their municipality align with its requirements.</w:t>
      </w:r>
    </w:p>
    <w:p w14:paraId="7F352960" w14:textId="11567E2D" w:rsidR="00554436" w:rsidRPr="00CB7974" w:rsidRDefault="00554436" w:rsidP="00871EE8">
      <w:pPr>
        <w:pStyle w:val="ListParagraph"/>
        <w:numPr>
          <w:ilvl w:val="0"/>
          <w:numId w:val="26"/>
        </w:numPr>
        <w:pBdr>
          <w:top w:val="nil"/>
          <w:left w:val="nil"/>
          <w:bottom w:val="nil"/>
          <w:right w:val="nil"/>
          <w:between w:val="nil"/>
        </w:pBdr>
        <w:shd w:val="clear" w:color="auto" w:fill="F2F2F2" w:themeFill="background1" w:themeFillShade="F2"/>
        <w:rPr>
          <w:rFonts w:ascii="Century Gothic" w:hAnsi="Century Gothic"/>
          <w:i/>
          <w:iCs/>
          <w:color w:val="000000"/>
        </w:rPr>
      </w:pPr>
      <w:r w:rsidRPr="00CB7974">
        <w:rPr>
          <w:rFonts w:ascii="Century Gothic" w:hAnsi="Century Gothic"/>
          <w:b/>
          <w:bCs/>
          <w:i/>
          <w:iCs/>
          <w:color w:val="000000"/>
        </w:rPr>
        <w:t>SANS 473 (AMR meters):</w:t>
      </w:r>
      <w:r w:rsidRPr="00CB7974">
        <w:rPr>
          <w:rFonts w:ascii="Century Gothic" w:hAnsi="Century Gothic"/>
          <w:i/>
          <w:iCs/>
          <w:color w:val="000000"/>
        </w:rPr>
        <w:t xml:space="preserve"> SANS 473 refers to the standard for Automated Meter Reading (AMR) systems for large power users in South Africa. This specification specifically applies to AMR systems used by large power users as defined by the relevant electricity supply authority. It covers the requirements for AMR systems but does not encompass the communication system between the AMR meter and the remote master station.</w:t>
      </w:r>
    </w:p>
    <w:p w14:paraId="3D54E664" w14:textId="2FED823F" w:rsidR="00554436" w:rsidRPr="00CB7974" w:rsidRDefault="00554436" w:rsidP="008127F1">
      <w:pPr>
        <w:pBdr>
          <w:top w:val="nil"/>
          <w:left w:val="nil"/>
          <w:bottom w:val="nil"/>
          <w:right w:val="nil"/>
          <w:between w:val="nil"/>
        </w:pBdr>
        <w:shd w:val="clear" w:color="auto" w:fill="F2F2F2" w:themeFill="background1" w:themeFillShade="F2"/>
        <w:rPr>
          <w:rFonts w:ascii="Century Gothic" w:hAnsi="Century Gothic"/>
          <w:i/>
          <w:iCs/>
          <w:color w:val="000000"/>
        </w:rPr>
      </w:pPr>
      <w:r w:rsidRPr="00CB7974">
        <w:rPr>
          <w:rFonts w:ascii="Century Gothic" w:hAnsi="Century Gothic"/>
          <w:i/>
          <w:iCs/>
          <w:color w:val="000000"/>
        </w:rPr>
        <w:t xml:space="preserve">Key actions that </w:t>
      </w:r>
      <w:r w:rsidR="00A56758">
        <w:rPr>
          <w:rFonts w:ascii="Century Gothic" w:hAnsi="Century Gothic"/>
          <w:i/>
          <w:iCs/>
          <w:color w:val="000000"/>
        </w:rPr>
        <w:t xml:space="preserve">The Municipality </w:t>
      </w:r>
      <w:r w:rsidRPr="00CB7974">
        <w:rPr>
          <w:rFonts w:ascii="Century Gothic" w:hAnsi="Century Gothic"/>
          <w:i/>
          <w:iCs/>
          <w:color w:val="000000"/>
        </w:rPr>
        <w:t>need to undertake regarding metering include:</w:t>
      </w:r>
    </w:p>
    <w:p w14:paraId="03B2CB15" w14:textId="34FE3B6E" w:rsidR="00554436" w:rsidRPr="00CB7974" w:rsidRDefault="00554436" w:rsidP="00871EE8">
      <w:pPr>
        <w:pStyle w:val="ListParagraph"/>
        <w:numPr>
          <w:ilvl w:val="0"/>
          <w:numId w:val="28"/>
        </w:numPr>
        <w:pBdr>
          <w:top w:val="nil"/>
          <w:left w:val="nil"/>
          <w:bottom w:val="nil"/>
          <w:right w:val="nil"/>
          <w:between w:val="nil"/>
        </w:pBdr>
        <w:shd w:val="clear" w:color="auto" w:fill="F2F2F2" w:themeFill="background1" w:themeFillShade="F2"/>
        <w:rPr>
          <w:rFonts w:ascii="Century Gothic" w:hAnsi="Century Gothic"/>
          <w:i/>
          <w:iCs/>
          <w:color w:val="000000"/>
        </w:rPr>
      </w:pPr>
      <w:r w:rsidRPr="00CB7974">
        <w:rPr>
          <w:rFonts w:ascii="Century Gothic" w:hAnsi="Century Gothic"/>
          <w:b/>
          <w:bCs/>
          <w:i/>
          <w:iCs/>
          <w:color w:val="000000"/>
        </w:rPr>
        <w:t>Familiarize</w:t>
      </w:r>
      <w:r w:rsidR="00B93DF8">
        <w:rPr>
          <w:rFonts w:ascii="Century Gothic" w:hAnsi="Century Gothic"/>
          <w:b/>
          <w:bCs/>
          <w:i/>
          <w:iCs/>
          <w:color w:val="000000"/>
        </w:rPr>
        <w:t xml:space="preserve"> themselves</w:t>
      </w:r>
      <w:r w:rsidRPr="00CB7974">
        <w:rPr>
          <w:rFonts w:ascii="Century Gothic" w:hAnsi="Century Gothic"/>
          <w:b/>
          <w:bCs/>
          <w:i/>
          <w:iCs/>
          <w:color w:val="000000"/>
        </w:rPr>
        <w:t xml:space="preserve"> with Metering Standards:</w:t>
      </w:r>
      <w:r w:rsidRPr="00CB7974">
        <w:rPr>
          <w:rFonts w:ascii="Century Gothic" w:hAnsi="Century Gothic"/>
          <w:i/>
          <w:iCs/>
          <w:color w:val="000000"/>
        </w:rPr>
        <w:t xml:space="preserve"> </w:t>
      </w:r>
      <w:r w:rsidR="00A56758">
        <w:rPr>
          <w:rFonts w:ascii="Century Gothic" w:hAnsi="Century Gothic"/>
          <w:i/>
          <w:iCs/>
          <w:color w:val="000000"/>
        </w:rPr>
        <w:t xml:space="preserve">The Municipality </w:t>
      </w:r>
      <w:r w:rsidRPr="00CB7974">
        <w:rPr>
          <w:rFonts w:ascii="Century Gothic" w:hAnsi="Century Gothic"/>
          <w:i/>
          <w:iCs/>
          <w:color w:val="000000"/>
        </w:rPr>
        <w:t>should familiarize themselves with the relevant metering standards, including SANS 474/NRS 057 and SANS 473. They should understand the requirements and guidelines outlined in these standards to ensure compliance within their municipality.</w:t>
      </w:r>
    </w:p>
    <w:p w14:paraId="28BBB94A" w14:textId="2199DE47" w:rsidR="00554436" w:rsidRPr="00CB7974" w:rsidRDefault="00554436" w:rsidP="00871EE8">
      <w:pPr>
        <w:pStyle w:val="ListParagraph"/>
        <w:numPr>
          <w:ilvl w:val="0"/>
          <w:numId w:val="27"/>
        </w:numPr>
        <w:pBdr>
          <w:top w:val="nil"/>
          <w:left w:val="nil"/>
          <w:bottom w:val="nil"/>
          <w:right w:val="nil"/>
          <w:between w:val="nil"/>
        </w:pBdr>
        <w:shd w:val="clear" w:color="auto" w:fill="F2F2F2" w:themeFill="background1" w:themeFillShade="F2"/>
        <w:rPr>
          <w:rFonts w:ascii="Century Gothic" w:hAnsi="Century Gothic"/>
          <w:i/>
          <w:iCs/>
          <w:color w:val="000000"/>
        </w:rPr>
      </w:pPr>
      <w:r w:rsidRPr="00CB7974">
        <w:rPr>
          <w:rFonts w:ascii="Century Gothic" w:hAnsi="Century Gothic"/>
          <w:b/>
          <w:bCs/>
          <w:i/>
          <w:iCs/>
          <w:color w:val="000000"/>
        </w:rPr>
        <w:lastRenderedPageBreak/>
        <w:t>Ensure Proper Meter Installation</w:t>
      </w:r>
      <w:r w:rsidRPr="00CB7974">
        <w:rPr>
          <w:rFonts w:ascii="Century Gothic" w:hAnsi="Century Gothic"/>
          <w:i/>
          <w:iCs/>
          <w:color w:val="000000"/>
        </w:rPr>
        <w:t xml:space="preserve">: </w:t>
      </w:r>
      <w:r w:rsidR="00A56758">
        <w:rPr>
          <w:rFonts w:ascii="Century Gothic" w:hAnsi="Century Gothic"/>
          <w:i/>
          <w:iCs/>
          <w:color w:val="000000"/>
        </w:rPr>
        <w:t xml:space="preserve">The Municipality </w:t>
      </w:r>
      <w:r w:rsidRPr="00CB7974">
        <w:rPr>
          <w:rFonts w:ascii="Century Gothic" w:hAnsi="Century Gothic"/>
          <w:i/>
          <w:iCs/>
          <w:color w:val="000000"/>
        </w:rPr>
        <w:t>should ensure that meters are installed correctly and in accordance with the prescribed standards. This involves working closely with metering service providers to verify the accuracy and reliability of the installed meters.</w:t>
      </w:r>
    </w:p>
    <w:p w14:paraId="17FB9855" w14:textId="06BDEB68" w:rsidR="00554436" w:rsidRPr="00CB7974" w:rsidRDefault="00554436" w:rsidP="00871EE8">
      <w:pPr>
        <w:pStyle w:val="ListParagraph"/>
        <w:numPr>
          <w:ilvl w:val="0"/>
          <w:numId w:val="27"/>
        </w:numPr>
        <w:pBdr>
          <w:top w:val="nil"/>
          <w:left w:val="nil"/>
          <w:bottom w:val="nil"/>
          <w:right w:val="nil"/>
          <w:between w:val="nil"/>
        </w:pBdr>
        <w:shd w:val="clear" w:color="auto" w:fill="F2F2F2" w:themeFill="background1" w:themeFillShade="F2"/>
        <w:rPr>
          <w:rFonts w:ascii="Century Gothic" w:hAnsi="Century Gothic"/>
          <w:i/>
          <w:iCs/>
          <w:color w:val="000000"/>
        </w:rPr>
      </w:pPr>
      <w:r w:rsidRPr="00CB7974">
        <w:rPr>
          <w:rFonts w:ascii="Century Gothic" w:hAnsi="Century Gothic"/>
          <w:b/>
          <w:bCs/>
          <w:i/>
          <w:iCs/>
          <w:color w:val="000000"/>
        </w:rPr>
        <w:t>Implement Meter Data Management:</w:t>
      </w:r>
      <w:r w:rsidRPr="00CB7974">
        <w:rPr>
          <w:rFonts w:ascii="Century Gothic" w:hAnsi="Century Gothic"/>
          <w:i/>
          <w:iCs/>
          <w:color w:val="000000"/>
        </w:rPr>
        <w:t xml:space="preserve"> </w:t>
      </w:r>
      <w:r w:rsidR="00A56758">
        <w:rPr>
          <w:rFonts w:ascii="Century Gothic" w:hAnsi="Century Gothic"/>
          <w:i/>
          <w:iCs/>
          <w:color w:val="000000"/>
        </w:rPr>
        <w:t xml:space="preserve">The Municipality </w:t>
      </w:r>
      <w:r w:rsidRPr="00CB7974">
        <w:rPr>
          <w:rFonts w:ascii="Century Gothic" w:hAnsi="Century Gothic"/>
          <w:i/>
          <w:iCs/>
          <w:color w:val="000000"/>
        </w:rPr>
        <w:t xml:space="preserve">need to establish effective meter data management practices. This includes processes for collecting, validating, storing, and </w:t>
      </w:r>
      <w:proofErr w:type="spellStart"/>
      <w:r w:rsidRPr="00CB7974">
        <w:rPr>
          <w:rFonts w:ascii="Century Gothic" w:hAnsi="Century Gothic"/>
          <w:i/>
          <w:iCs/>
          <w:color w:val="000000"/>
        </w:rPr>
        <w:t>analyzing</w:t>
      </w:r>
      <w:proofErr w:type="spellEnd"/>
      <w:r w:rsidRPr="00CB7974">
        <w:rPr>
          <w:rFonts w:ascii="Century Gothic" w:hAnsi="Century Gothic"/>
          <w:i/>
          <w:iCs/>
          <w:color w:val="000000"/>
        </w:rPr>
        <w:t xml:space="preserve"> meter data. Robust meter data management enables accurate billing, efficient energy management, and effective monitoring of third-party wheeling transactions.</w:t>
      </w:r>
    </w:p>
    <w:p w14:paraId="03CF3DDC" w14:textId="7C3A6FE1" w:rsidR="00554436" w:rsidRPr="00CB7974" w:rsidRDefault="00554436" w:rsidP="00871EE8">
      <w:pPr>
        <w:pStyle w:val="ListParagraph"/>
        <w:numPr>
          <w:ilvl w:val="0"/>
          <w:numId w:val="27"/>
        </w:numPr>
        <w:pBdr>
          <w:top w:val="nil"/>
          <w:left w:val="nil"/>
          <w:bottom w:val="nil"/>
          <w:right w:val="nil"/>
          <w:between w:val="nil"/>
        </w:pBdr>
        <w:shd w:val="clear" w:color="auto" w:fill="F2F2F2" w:themeFill="background1" w:themeFillShade="F2"/>
        <w:rPr>
          <w:rFonts w:ascii="Century Gothic" w:hAnsi="Century Gothic"/>
          <w:i/>
          <w:iCs/>
          <w:color w:val="000000"/>
        </w:rPr>
      </w:pPr>
      <w:r w:rsidRPr="00CB7974">
        <w:rPr>
          <w:rFonts w:ascii="Century Gothic" w:hAnsi="Century Gothic"/>
          <w:b/>
          <w:bCs/>
          <w:i/>
          <w:iCs/>
          <w:color w:val="000000"/>
        </w:rPr>
        <w:t>Metering Audits and Compliance:</w:t>
      </w:r>
      <w:r w:rsidRPr="00CB7974">
        <w:rPr>
          <w:rFonts w:ascii="Century Gothic" w:hAnsi="Century Gothic"/>
          <w:i/>
          <w:iCs/>
          <w:color w:val="000000"/>
        </w:rPr>
        <w:t xml:space="preserve"> </w:t>
      </w:r>
      <w:r w:rsidR="00A56758">
        <w:rPr>
          <w:rFonts w:ascii="Century Gothic" w:hAnsi="Century Gothic"/>
          <w:i/>
          <w:iCs/>
          <w:color w:val="000000"/>
        </w:rPr>
        <w:t xml:space="preserve">The Municipality </w:t>
      </w:r>
      <w:r w:rsidRPr="00CB7974">
        <w:rPr>
          <w:rFonts w:ascii="Century Gothic" w:hAnsi="Century Gothic"/>
          <w:i/>
          <w:iCs/>
          <w:color w:val="000000"/>
        </w:rPr>
        <w:t>should conduct periodic metering audits to verify compliance with the established standards and regulations. Audits help identify any non-compliance issues and ensure that metering practices align with industry best practices and regulatory requirements.</w:t>
      </w:r>
    </w:p>
    <w:p w14:paraId="63B94622" w14:textId="69EDE84C" w:rsidR="004105CF" w:rsidRDefault="00554436" w:rsidP="008127F1">
      <w:pPr>
        <w:pBdr>
          <w:top w:val="nil"/>
          <w:left w:val="nil"/>
          <w:bottom w:val="nil"/>
          <w:right w:val="nil"/>
          <w:between w:val="nil"/>
        </w:pBdr>
        <w:shd w:val="clear" w:color="auto" w:fill="F2F2F2" w:themeFill="background1" w:themeFillShade="F2"/>
        <w:rPr>
          <w:rFonts w:ascii="Century Gothic" w:hAnsi="Century Gothic"/>
          <w:i/>
          <w:iCs/>
          <w:color w:val="000000"/>
        </w:rPr>
      </w:pPr>
      <w:r w:rsidRPr="00CB7974">
        <w:rPr>
          <w:rFonts w:ascii="Century Gothic" w:hAnsi="Century Gothic"/>
          <w:i/>
          <w:iCs/>
          <w:color w:val="000000"/>
        </w:rPr>
        <w:t xml:space="preserve">By familiarizing with metering standards, ensuring proper meter installation, implementing effective meter data management, conducting periodic maintenance and audits, and ensuring compliance with relevant standards, </w:t>
      </w:r>
      <w:r w:rsidR="00A56758">
        <w:rPr>
          <w:rFonts w:ascii="Century Gothic" w:hAnsi="Century Gothic"/>
          <w:i/>
          <w:iCs/>
          <w:color w:val="000000"/>
        </w:rPr>
        <w:t xml:space="preserve">The Municipality </w:t>
      </w:r>
      <w:r w:rsidRPr="00CB7974">
        <w:rPr>
          <w:rFonts w:ascii="Century Gothic" w:hAnsi="Century Gothic"/>
          <w:i/>
          <w:iCs/>
          <w:color w:val="000000"/>
        </w:rPr>
        <w:t>contribute to the accurate and reliable metering of electricity in the context of third-party wheeling. Proper metering practices are essential for fair and transparent billing, efficient energy management, and overall success of the wheeling process.</w:t>
      </w:r>
    </w:p>
    <w:p w14:paraId="69D347A9" w14:textId="08913BD5" w:rsidR="004105CF" w:rsidRDefault="004105CF" w:rsidP="008127F1">
      <w:pPr>
        <w:pBdr>
          <w:top w:val="nil"/>
          <w:left w:val="nil"/>
          <w:bottom w:val="nil"/>
          <w:right w:val="nil"/>
          <w:between w:val="nil"/>
        </w:pBdr>
        <w:shd w:val="clear" w:color="auto" w:fill="F2F2F2" w:themeFill="background1" w:themeFillShade="F2"/>
        <w:rPr>
          <w:rFonts w:ascii="Century Gothic" w:hAnsi="Century Gothic"/>
          <w:i/>
          <w:iCs/>
          <w:color w:val="000000"/>
        </w:rPr>
      </w:pPr>
      <w:r w:rsidRPr="004105CF">
        <w:rPr>
          <w:rFonts w:ascii="Century Gothic" w:hAnsi="Century Gothic"/>
          <w:i/>
          <w:iCs/>
          <w:color w:val="000000"/>
        </w:rPr>
        <w:t xml:space="preserve">Using smart metering for third-party wheeling energy transactions offers several significant advantages and plays a crucial role in ensuring the success and efficiency of the process. </w:t>
      </w:r>
      <w:r>
        <w:rPr>
          <w:rFonts w:ascii="Century Gothic" w:hAnsi="Century Gothic"/>
          <w:i/>
          <w:iCs/>
          <w:color w:val="000000"/>
        </w:rPr>
        <w:t>K</w:t>
      </w:r>
      <w:r w:rsidRPr="004105CF">
        <w:rPr>
          <w:rFonts w:ascii="Century Gothic" w:hAnsi="Century Gothic"/>
          <w:i/>
          <w:iCs/>
          <w:color w:val="000000"/>
        </w:rPr>
        <w:t>ey reasons why smart metering is essential in the context of third-party wheeling:</w:t>
      </w:r>
    </w:p>
    <w:p w14:paraId="41B74B34" w14:textId="74A33F4C" w:rsidR="006A6666" w:rsidRPr="006A6666" w:rsidRDefault="006A6666" w:rsidP="00871EE8">
      <w:pPr>
        <w:pStyle w:val="ListParagraph"/>
        <w:numPr>
          <w:ilvl w:val="0"/>
          <w:numId w:val="28"/>
        </w:numPr>
        <w:pBdr>
          <w:top w:val="nil"/>
          <w:left w:val="nil"/>
          <w:bottom w:val="nil"/>
          <w:right w:val="nil"/>
          <w:between w:val="nil"/>
        </w:pBdr>
        <w:shd w:val="clear" w:color="auto" w:fill="F2F2F2" w:themeFill="background1" w:themeFillShade="F2"/>
        <w:spacing w:before="60" w:after="60"/>
        <w:ind w:left="357" w:hanging="357"/>
        <w:contextualSpacing w:val="0"/>
        <w:rPr>
          <w:rFonts w:ascii="Century Gothic" w:hAnsi="Century Gothic"/>
          <w:i/>
          <w:iCs/>
          <w:color w:val="000000"/>
        </w:rPr>
      </w:pPr>
      <w:r w:rsidRPr="006A6666">
        <w:rPr>
          <w:rFonts w:ascii="Century Gothic" w:hAnsi="Century Gothic"/>
          <w:b/>
          <w:bCs/>
          <w:i/>
          <w:iCs/>
          <w:color w:val="000000"/>
        </w:rPr>
        <w:t>Accurate Measurement and Billing</w:t>
      </w:r>
      <w:r w:rsidRPr="006A6666">
        <w:rPr>
          <w:rFonts w:ascii="Century Gothic" w:hAnsi="Century Gothic"/>
          <w:i/>
          <w:iCs/>
          <w:color w:val="000000"/>
        </w:rPr>
        <w:t>: Smart meters provide highly accurate and real-time measurements of energy consumption. This accuracy is crucial in third-party wheeling, as it ensures that the energy consumed by the off-taker is precisely measured, and the corresponding billing is fair and transparent. Smart meters eliminate the need for manual meter reading, reducing the chances of human errors or discrepancies in billing.</w:t>
      </w:r>
    </w:p>
    <w:p w14:paraId="61EA72DF" w14:textId="4865AF86" w:rsidR="006A6666" w:rsidRPr="006A6666" w:rsidRDefault="006A6666" w:rsidP="00871EE8">
      <w:pPr>
        <w:pStyle w:val="ListParagraph"/>
        <w:numPr>
          <w:ilvl w:val="0"/>
          <w:numId w:val="28"/>
        </w:numPr>
        <w:pBdr>
          <w:top w:val="nil"/>
          <w:left w:val="nil"/>
          <w:bottom w:val="nil"/>
          <w:right w:val="nil"/>
          <w:between w:val="nil"/>
        </w:pBdr>
        <w:shd w:val="clear" w:color="auto" w:fill="F2F2F2" w:themeFill="background1" w:themeFillShade="F2"/>
        <w:spacing w:before="60" w:after="60"/>
        <w:ind w:left="357" w:hanging="357"/>
        <w:contextualSpacing w:val="0"/>
        <w:rPr>
          <w:rFonts w:ascii="Century Gothic" w:hAnsi="Century Gothic"/>
          <w:i/>
          <w:iCs/>
          <w:color w:val="000000"/>
        </w:rPr>
      </w:pPr>
      <w:r w:rsidRPr="006A6666">
        <w:rPr>
          <w:rFonts w:ascii="Century Gothic" w:hAnsi="Century Gothic"/>
          <w:b/>
          <w:bCs/>
          <w:i/>
          <w:iCs/>
          <w:color w:val="000000"/>
        </w:rPr>
        <w:t>Time-of-Use (TOU) Tariffs:</w:t>
      </w:r>
      <w:r w:rsidRPr="006A6666">
        <w:rPr>
          <w:rFonts w:ascii="Century Gothic" w:hAnsi="Century Gothic"/>
          <w:i/>
          <w:iCs/>
          <w:color w:val="000000"/>
        </w:rPr>
        <w:t xml:space="preserve"> Smart meters enable the implementation of Time-of-Use (TOU) tariffs, where electricity prices vary based on the time of day or the demand on the grid. TOU tariffs can incentivize off-takers to adjust their energy usage patterns, which can help balance the grid and reduce peak demand. This flexibility is especially valuable in the context of third-party wheeling, as it encourages efficient energy consumption.</w:t>
      </w:r>
    </w:p>
    <w:p w14:paraId="61626F8F" w14:textId="484EB376" w:rsidR="006A6666" w:rsidRPr="006A6666" w:rsidRDefault="006A6666" w:rsidP="00871EE8">
      <w:pPr>
        <w:pStyle w:val="ListParagraph"/>
        <w:numPr>
          <w:ilvl w:val="0"/>
          <w:numId w:val="28"/>
        </w:numPr>
        <w:pBdr>
          <w:top w:val="nil"/>
          <w:left w:val="nil"/>
          <w:bottom w:val="nil"/>
          <w:right w:val="nil"/>
          <w:between w:val="nil"/>
        </w:pBdr>
        <w:shd w:val="clear" w:color="auto" w:fill="F2F2F2" w:themeFill="background1" w:themeFillShade="F2"/>
        <w:spacing w:before="60" w:after="60"/>
        <w:ind w:left="357" w:hanging="357"/>
        <w:contextualSpacing w:val="0"/>
        <w:rPr>
          <w:rFonts w:ascii="Century Gothic" w:hAnsi="Century Gothic"/>
          <w:i/>
          <w:iCs/>
          <w:color w:val="000000"/>
        </w:rPr>
      </w:pPr>
      <w:r w:rsidRPr="006A6666">
        <w:rPr>
          <w:rFonts w:ascii="Century Gothic" w:hAnsi="Century Gothic"/>
          <w:b/>
          <w:bCs/>
          <w:i/>
          <w:iCs/>
          <w:color w:val="000000"/>
        </w:rPr>
        <w:t>Data Transparency and Visibility:</w:t>
      </w:r>
      <w:r w:rsidRPr="006A6666">
        <w:rPr>
          <w:rFonts w:ascii="Century Gothic" w:hAnsi="Century Gothic"/>
          <w:i/>
          <w:iCs/>
          <w:color w:val="000000"/>
        </w:rPr>
        <w:t xml:space="preserve"> Smart meters provide a wealth of data that can be accessed remotely and in real-time. This data transparency and visibility benefit all parties involved in the third-party wheeling process, including the generator, off-taker, and the municipality. It enables better monitoring of energy flows, allows for accurate billing, and facilitates effective decision-making for energy management and optimization.</w:t>
      </w:r>
    </w:p>
    <w:p w14:paraId="04365D16" w14:textId="57C09B52" w:rsidR="006A6666" w:rsidRPr="006A6666" w:rsidRDefault="006A6666" w:rsidP="00871EE8">
      <w:pPr>
        <w:pStyle w:val="ListParagraph"/>
        <w:numPr>
          <w:ilvl w:val="0"/>
          <w:numId w:val="28"/>
        </w:numPr>
        <w:pBdr>
          <w:top w:val="nil"/>
          <w:left w:val="nil"/>
          <w:bottom w:val="nil"/>
          <w:right w:val="nil"/>
          <w:between w:val="nil"/>
        </w:pBdr>
        <w:shd w:val="clear" w:color="auto" w:fill="F2F2F2" w:themeFill="background1" w:themeFillShade="F2"/>
        <w:spacing w:before="60" w:after="60"/>
        <w:ind w:left="357" w:hanging="357"/>
        <w:contextualSpacing w:val="0"/>
        <w:rPr>
          <w:rFonts w:ascii="Century Gothic" w:hAnsi="Century Gothic"/>
          <w:i/>
          <w:iCs/>
          <w:color w:val="000000"/>
        </w:rPr>
      </w:pPr>
      <w:r w:rsidRPr="006A6666">
        <w:rPr>
          <w:rFonts w:ascii="Century Gothic" w:hAnsi="Century Gothic"/>
          <w:b/>
          <w:bCs/>
          <w:i/>
          <w:iCs/>
          <w:color w:val="000000"/>
        </w:rPr>
        <w:t>Load Profiling and Forecasting:</w:t>
      </w:r>
      <w:r w:rsidRPr="006A6666">
        <w:rPr>
          <w:rFonts w:ascii="Century Gothic" w:hAnsi="Century Gothic"/>
          <w:i/>
          <w:iCs/>
          <w:color w:val="000000"/>
        </w:rPr>
        <w:t xml:space="preserve"> With smart metering, load profiling and forecasting become more precise. Utilities and off-takers can </w:t>
      </w:r>
      <w:proofErr w:type="spellStart"/>
      <w:r w:rsidRPr="006A6666">
        <w:rPr>
          <w:rFonts w:ascii="Century Gothic" w:hAnsi="Century Gothic"/>
          <w:i/>
          <w:iCs/>
          <w:color w:val="000000"/>
        </w:rPr>
        <w:t>analyze</w:t>
      </w:r>
      <w:proofErr w:type="spellEnd"/>
      <w:r w:rsidRPr="006A6666">
        <w:rPr>
          <w:rFonts w:ascii="Century Gothic" w:hAnsi="Century Gothic"/>
          <w:i/>
          <w:iCs/>
          <w:color w:val="000000"/>
        </w:rPr>
        <w:t xml:space="preserve"> historical consumption patterns and make informed predictions about future energy demands. This capability is vital for planning and ensuring the reliable supply of electricity in the context of third-party wheeling, where energy flows may vary depending on the contractual agreements.</w:t>
      </w:r>
    </w:p>
    <w:p w14:paraId="26CC967D" w14:textId="735AC844" w:rsidR="006A6666" w:rsidRPr="006A6666" w:rsidRDefault="006A6666" w:rsidP="00871EE8">
      <w:pPr>
        <w:pStyle w:val="ListParagraph"/>
        <w:numPr>
          <w:ilvl w:val="0"/>
          <w:numId w:val="28"/>
        </w:numPr>
        <w:pBdr>
          <w:top w:val="nil"/>
          <w:left w:val="nil"/>
          <w:bottom w:val="nil"/>
          <w:right w:val="nil"/>
          <w:between w:val="nil"/>
        </w:pBdr>
        <w:shd w:val="clear" w:color="auto" w:fill="F2F2F2" w:themeFill="background1" w:themeFillShade="F2"/>
        <w:spacing w:before="60" w:after="60"/>
        <w:ind w:left="357" w:hanging="357"/>
        <w:contextualSpacing w:val="0"/>
        <w:rPr>
          <w:rFonts w:ascii="Century Gothic" w:hAnsi="Century Gothic"/>
          <w:i/>
          <w:iCs/>
          <w:color w:val="000000"/>
        </w:rPr>
      </w:pPr>
      <w:r w:rsidRPr="006A6666">
        <w:rPr>
          <w:rFonts w:ascii="Century Gothic" w:hAnsi="Century Gothic"/>
          <w:b/>
          <w:bCs/>
          <w:i/>
          <w:iCs/>
          <w:color w:val="000000"/>
        </w:rPr>
        <w:t>Demand Response:</w:t>
      </w:r>
      <w:r w:rsidRPr="006A6666">
        <w:rPr>
          <w:rFonts w:ascii="Century Gothic" w:hAnsi="Century Gothic"/>
          <w:i/>
          <w:iCs/>
          <w:color w:val="000000"/>
        </w:rPr>
        <w:t xml:space="preserve"> Smart meters support demand response initiatives, allowing off-takers to adjust their energy consumption during peak periods or when electricity prices are high. By participating in demand response programs, off-takers can contribute to grid stability and reduce their energy costs. This flexibility aligns well with the objectives of third-party wheeling, where optimizing energy usage is essential.</w:t>
      </w:r>
    </w:p>
    <w:p w14:paraId="0DBA7635" w14:textId="22D9261F" w:rsidR="006A6666" w:rsidRPr="006A6666" w:rsidRDefault="006A6666" w:rsidP="00871EE8">
      <w:pPr>
        <w:pStyle w:val="ListParagraph"/>
        <w:numPr>
          <w:ilvl w:val="0"/>
          <w:numId w:val="28"/>
        </w:numPr>
        <w:pBdr>
          <w:top w:val="nil"/>
          <w:left w:val="nil"/>
          <w:bottom w:val="nil"/>
          <w:right w:val="nil"/>
          <w:between w:val="nil"/>
        </w:pBdr>
        <w:shd w:val="clear" w:color="auto" w:fill="F2F2F2" w:themeFill="background1" w:themeFillShade="F2"/>
        <w:spacing w:before="60" w:after="60"/>
        <w:ind w:left="357" w:hanging="357"/>
        <w:contextualSpacing w:val="0"/>
        <w:rPr>
          <w:rFonts w:ascii="Century Gothic" w:hAnsi="Century Gothic"/>
          <w:i/>
          <w:iCs/>
          <w:color w:val="000000"/>
        </w:rPr>
      </w:pPr>
      <w:r w:rsidRPr="006A6666">
        <w:rPr>
          <w:rFonts w:ascii="Century Gothic" w:hAnsi="Century Gothic"/>
          <w:b/>
          <w:bCs/>
          <w:i/>
          <w:iCs/>
          <w:color w:val="000000"/>
        </w:rPr>
        <w:t>Remote Disconnect/Reconnect</w:t>
      </w:r>
      <w:r w:rsidRPr="006A6666">
        <w:rPr>
          <w:rFonts w:ascii="Century Gothic" w:hAnsi="Century Gothic"/>
          <w:i/>
          <w:iCs/>
          <w:color w:val="000000"/>
        </w:rPr>
        <w:t xml:space="preserve">: In situations where there are contractual issues or when a customer needs to be disconnected from the network temporarily, smart meters facilitate </w:t>
      </w:r>
      <w:r w:rsidRPr="006A6666">
        <w:rPr>
          <w:rFonts w:ascii="Century Gothic" w:hAnsi="Century Gothic"/>
          <w:i/>
          <w:iCs/>
          <w:color w:val="000000"/>
        </w:rPr>
        <w:lastRenderedPageBreak/>
        <w:t>remote disconnect and reconnect capabilities. This feature ensures efficiency in managing and resolving any disputes or contractual changes in third-party wheeling arrangements.</w:t>
      </w:r>
    </w:p>
    <w:p w14:paraId="0FE586BF" w14:textId="3FA3A5B5" w:rsidR="008A5594" w:rsidRPr="00246B10" w:rsidRDefault="006A6666" w:rsidP="00871EE8">
      <w:pPr>
        <w:pStyle w:val="ListParagraph"/>
        <w:numPr>
          <w:ilvl w:val="0"/>
          <w:numId w:val="28"/>
        </w:numPr>
        <w:pBdr>
          <w:top w:val="nil"/>
          <w:left w:val="nil"/>
          <w:bottom w:val="nil"/>
          <w:right w:val="nil"/>
          <w:between w:val="nil"/>
        </w:pBdr>
        <w:shd w:val="clear" w:color="auto" w:fill="F2F2F2" w:themeFill="background1" w:themeFillShade="F2"/>
        <w:spacing w:before="60" w:after="60"/>
        <w:ind w:left="357" w:hanging="357"/>
        <w:contextualSpacing w:val="0"/>
        <w:rPr>
          <w:rFonts w:ascii="Century Gothic" w:hAnsi="Century Gothic"/>
          <w:i/>
          <w:iCs/>
          <w:color w:val="000000"/>
        </w:rPr>
      </w:pPr>
      <w:r w:rsidRPr="006A6666">
        <w:rPr>
          <w:rFonts w:ascii="Century Gothic" w:hAnsi="Century Gothic"/>
          <w:b/>
          <w:bCs/>
          <w:i/>
          <w:iCs/>
          <w:color w:val="000000"/>
        </w:rPr>
        <w:t>Fraud Detection and Security</w:t>
      </w:r>
      <w:r w:rsidRPr="006A6666">
        <w:rPr>
          <w:rFonts w:ascii="Century Gothic" w:hAnsi="Century Gothic"/>
          <w:i/>
          <w:iCs/>
          <w:color w:val="000000"/>
        </w:rPr>
        <w:t>: Smart meters can detect irregularities or tampering, aiding in the prevention of energy theft and ensuring the security of the energy supply chain. In third-party wheeling, where multiple parties are involved, smart metering enhances the overall security of the energy transactions and helps maintain the integrity of the system.</w:t>
      </w:r>
    </w:p>
    <w:p w14:paraId="1914D3C1" w14:textId="11CC0726" w:rsidR="00166A47" w:rsidRPr="00BE54FC" w:rsidRDefault="008A5594" w:rsidP="00BE54FC">
      <w:pPr>
        <w:pBdr>
          <w:top w:val="nil"/>
          <w:left w:val="nil"/>
          <w:bottom w:val="nil"/>
          <w:right w:val="nil"/>
          <w:between w:val="nil"/>
        </w:pBdr>
        <w:shd w:val="clear" w:color="auto" w:fill="F2F2F2" w:themeFill="background1" w:themeFillShade="F2"/>
        <w:spacing w:before="60" w:after="60"/>
        <w:rPr>
          <w:rFonts w:ascii="Century Gothic" w:hAnsi="Century Gothic"/>
          <w:i/>
          <w:iCs/>
          <w:color w:val="000000"/>
        </w:rPr>
      </w:pPr>
      <w:r>
        <w:rPr>
          <w:rFonts w:ascii="Century Gothic" w:hAnsi="Century Gothic"/>
          <w:i/>
          <w:iCs/>
          <w:color w:val="000000"/>
        </w:rPr>
        <w:t xml:space="preserve">In order to </w:t>
      </w:r>
      <w:r w:rsidR="00246B10">
        <w:rPr>
          <w:rFonts w:ascii="Century Gothic" w:hAnsi="Century Gothic"/>
          <w:i/>
          <w:iCs/>
          <w:color w:val="000000"/>
        </w:rPr>
        <w:t xml:space="preserve">make use of the valuable data from the smart meters, the </w:t>
      </w:r>
      <w:r w:rsidR="00B56680">
        <w:rPr>
          <w:rFonts w:ascii="Century Gothic" w:hAnsi="Century Gothic"/>
          <w:i/>
          <w:iCs/>
          <w:color w:val="000000"/>
        </w:rPr>
        <w:t>Municipality</w:t>
      </w:r>
      <w:r w:rsidR="00246B10">
        <w:rPr>
          <w:rFonts w:ascii="Century Gothic" w:hAnsi="Century Gothic"/>
          <w:i/>
          <w:iCs/>
          <w:color w:val="000000"/>
        </w:rPr>
        <w:t xml:space="preserve"> may need to consider </w:t>
      </w:r>
      <w:r w:rsidR="009C09D7">
        <w:rPr>
          <w:rFonts w:ascii="Century Gothic" w:hAnsi="Century Gothic"/>
          <w:i/>
          <w:iCs/>
          <w:color w:val="000000"/>
        </w:rPr>
        <w:t>investing</w:t>
      </w:r>
      <w:r w:rsidR="00246B10">
        <w:rPr>
          <w:rFonts w:ascii="Century Gothic" w:hAnsi="Century Gothic"/>
          <w:i/>
          <w:iCs/>
          <w:color w:val="000000"/>
        </w:rPr>
        <w:t xml:space="preserve"> in a smart metering system</w:t>
      </w:r>
      <w:r w:rsidR="009C09D7">
        <w:rPr>
          <w:rFonts w:ascii="Century Gothic" w:hAnsi="Century Gothic"/>
          <w:i/>
          <w:iCs/>
          <w:color w:val="000000"/>
        </w:rPr>
        <w:t xml:space="preserve">. </w:t>
      </w:r>
      <w:r w:rsidR="009C09D7" w:rsidRPr="009C09D7">
        <w:rPr>
          <w:rFonts w:ascii="Century Gothic" w:hAnsi="Century Gothic"/>
          <w:i/>
          <w:iCs/>
          <w:color w:val="000000"/>
        </w:rPr>
        <w:t>A smart meter system, also known as an Advanced Metering Infrastructure (AMI) system, is a comprehensive and integrated network of smart meters and communication technologies that enable two-way communication between utility providers and consumers. It is a modernized metering solution that goes beyond traditional metering by incorporating advanced technology and data management capabilities</w:t>
      </w:r>
      <w:r w:rsidR="00F870E7">
        <w:rPr>
          <w:rFonts w:ascii="Century Gothic" w:hAnsi="Century Gothic"/>
          <w:i/>
          <w:iCs/>
          <w:color w:val="000000"/>
        </w:rPr>
        <w:t>.</w:t>
      </w:r>
    </w:p>
    <w:p w14:paraId="771DDC34" w14:textId="1C4321A8" w:rsidR="00554436" w:rsidRPr="00554436" w:rsidRDefault="00554436" w:rsidP="00554436">
      <w:pPr>
        <w:rPr>
          <w:rFonts w:ascii="Century Gothic" w:hAnsi="Century Gothic"/>
          <w:b/>
          <w:bCs/>
          <w:u w:val="single"/>
        </w:rPr>
      </w:pPr>
      <w:r w:rsidRPr="00FE49F7">
        <w:rPr>
          <w:rFonts w:ascii="Segoe UI Emoji" w:hAnsi="Segoe UI Emoji" w:cs="Segoe UI Emoji"/>
          <w:b/>
          <w:bCs/>
          <w:u w:val="single"/>
        </w:rPr>
        <w:t>💡</w:t>
      </w:r>
      <w:r w:rsidRPr="00FE49F7">
        <w:rPr>
          <w:rFonts w:ascii="Century Gothic" w:hAnsi="Century Gothic"/>
          <w:b/>
          <w:bCs/>
          <w:u w:val="single"/>
        </w:rPr>
        <w:t xml:space="preserve">Illustrative example </w:t>
      </w:r>
    </w:p>
    <w:p w14:paraId="710286D2" w14:textId="77777777" w:rsidR="00E8324E" w:rsidRDefault="00E8324E" w:rsidP="00E8324E">
      <w:pPr>
        <w:pBdr>
          <w:top w:val="nil"/>
          <w:left w:val="nil"/>
          <w:bottom w:val="nil"/>
          <w:right w:val="nil"/>
          <w:between w:val="nil"/>
        </w:pBdr>
        <w:rPr>
          <w:rFonts w:ascii="Century Gothic" w:hAnsi="Century Gothic"/>
          <w:color w:val="000000" w:themeColor="text1"/>
        </w:rPr>
      </w:pPr>
      <w:r w:rsidRPr="006B1A0D">
        <w:rPr>
          <w:rFonts w:ascii="Century Gothic" w:hAnsi="Century Gothic"/>
          <w:color w:val="000000" w:themeColor="text1"/>
        </w:rPr>
        <w:t xml:space="preserve">Metering plays a crucial role in the measurement and billing of electricity for embedded generation and wheeling arrangements. It ensures accurate recording of energy consumption, facilitates fair billing, and enables effective management of the power system. This </w:t>
      </w:r>
      <w:r>
        <w:rPr>
          <w:rFonts w:ascii="Century Gothic" w:hAnsi="Century Gothic"/>
          <w:color w:val="000000" w:themeColor="text1"/>
        </w:rPr>
        <w:t xml:space="preserve">section </w:t>
      </w:r>
      <w:r w:rsidRPr="006B1A0D">
        <w:rPr>
          <w:rFonts w:ascii="Century Gothic" w:hAnsi="Century Gothic"/>
          <w:color w:val="000000" w:themeColor="text1"/>
        </w:rPr>
        <w:t>provides an overview of metering requirements for embedded generation and wheeling, including the concepts of 4 quadrant metering and various metering components.</w:t>
      </w:r>
    </w:p>
    <w:p w14:paraId="08FB1350" w14:textId="2FD288E3" w:rsidR="00E8324E" w:rsidRDefault="00E8324E" w:rsidP="00E8324E">
      <w:pPr>
        <w:pBdr>
          <w:top w:val="nil"/>
          <w:left w:val="nil"/>
          <w:bottom w:val="nil"/>
          <w:right w:val="nil"/>
          <w:between w:val="nil"/>
        </w:pBdr>
        <w:rPr>
          <w:rFonts w:ascii="Century Gothic" w:hAnsi="Century Gothic"/>
          <w:color w:val="000000" w:themeColor="text1"/>
        </w:rPr>
      </w:pPr>
      <w:r w:rsidRPr="006B1A0D">
        <w:rPr>
          <w:rFonts w:ascii="Century Gothic" w:hAnsi="Century Gothic"/>
          <w:color w:val="000000" w:themeColor="text1"/>
        </w:rPr>
        <w:t>To ensure precision in measurement, all Point of Utility Coupling (PUC) points should be metered on the same Automated Meter Reading (AMR) platform. This centralized approach eliminates discrepancies and enhances the accuracy of metering data, providing a reliable basis for billing calculations.</w:t>
      </w:r>
    </w:p>
    <w:p w14:paraId="360BC7AA" w14:textId="37946C22" w:rsidR="00E8324E" w:rsidRPr="006B1A0D" w:rsidRDefault="00E8324E" w:rsidP="00E8324E">
      <w:pPr>
        <w:pBdr>
          <w:top w:val="nil"/>
          <w:left w:val="nil"/>
          <w:bottom w:val="nil"/>
          <w:right w:val="nil"/>
          <w:between w:val="nil"/>
        </w:pBdr>
        <w:rPr>
          <w:rFonts w:ascii="Century Gothic" w:hAnsi="Century Gothic"/>
          <w:color w:val="000000" w:themeColor="text1"/>
        </w:rPr>
      </w:pPr>
      <w:r w:rsidRPr="006B1A0D">
        <w:rPr>
          <w:rFonts w:ascii="Century Gothic" w:hAnsi="Century Gothic"/>
          <w:color w:val="000000" w:themeColor="text1"/>
        </w:rPr>
        <w:t>Furthermore, it is important to note that the cost associated with metering equipment and ancillary services should be borne by the wheeling consumer. This ensures a fair distribution of expenses and encourages responsible energy consumption practices among participants in the wheeling arrangement.</w:t>
      </w:r>
    </w:p>
    <w:p w14:paraId="43105F4E" w14:textId="4FEBAEBC" w:rsidR="00E8324E" w:rsidRDefault="00E8324E" w:rsidP="00E8324E">
      <w:pPr>
        <w:pBdr>
          <w:top w:val="nil"/>
          <w:left w:val="nil"/>
          <w:bottom w:val="nil"/>
          <w:right w:val="nil"/>
          <w:between w:val="nil"/>
        </w:pBdr>
        <w:rPr>
          <w:rFonts w:ascii="Century Gothic" w:hAnsi="Century Gothic"/>
        </w:rPr>
      </w:pPr>
      <w:r w:rsidRPr="1AE41EAE">
        <w:rPr>
          <w:rFonts w:ascii="Century Gothic" w:hAnsi="Century Gothic"/>
          <w:color w:val="000000" w:themeColor="text1"/>
        </w:rPr>
        <w:t xml:space="preserve">Generators wheeling energy into the municipal distribution network must install a municipal approved bi-directional AMI meter at the point of generation at the </w:t>
      </w:r>
      <w:r w:rsidR="008A430A">
        <w:rPr>
          <w:rFonts w:ascii="Century Gothic" w:hAnsi="Century Gothic"/>
          <w:color w:val="000000" w:themeColor="text1"/>
        </w:rPr>
        <w:t>generator’s</w:t>
      </w:r>
      <w:r w:rsidR="008A430A" w:rsidRPr="1AE41EAE">
        <w:rPr>
          <w:rFonts w:ascii="Century Gothic" w:hAnsi="Century Gothic"/>
          <w:color w:val="000000" w:themeColor="text1"/>
        </w:rPr>
        <w:t xml:space="preserve"> </w:t>
      </w:r>
      <w:r w:rsidRPr="1AE41EAE">
        <w:rPr>
          <w:rFonts w:ascii="Century Gothic" w:hAnsi="Century Gothic"/>
          <w:color w:val="000000" w:themeColor="text1"/>
        </w:rPr>
        <w:t>cost. The Off</w:t>
      </w:r>
      <w:r w:rsidR="002840DC">
        <w:rPr>
          <w:rFonts w:ascii="Century Gothic" w:hAnsi="Century Gothic"/>
          <w:color w:val="000000" w:themeColor="text1"/>
        </w:rPr>
        <w:t>-</w:t>
      </w:r>
      <w:r w:rsidRPr="1AE41EAE">
        <w:rPr>
          <w:rFonts w:ascii="Century Gothic" w:hAnsi="Century Gothic"/>
          <w:color w:val="000000" w:themeColor="text1"/>
        </w:rPr>
        <w:t>taker receiving wheeled energy must also install an AMI meter.</w:t>
      </w:r>
      <w:r w:rsidRPr="00E55368">
        <w:rPr>
          <w:rFonts w:ascii="Century Gothic" w:hAnsi="Century Gothic"/>
        </w:rPr>
        <w:t xml:space="preserve"> The meter and AMI system for wheeling will need to comply to the SANS 474 and the NRS 049 respectively.</w:t>
      </w:r>
    </w:p>
    <w:p w14:paraId="66250EF9" w14:textId="7243E460" w:rsidR="00E8324E" w:rsidRDefault="00E8324E" w:rsidP="00E8324E">
      <w:pPr>
        <w:pBdr>
          <w:top w:val="nil"/>
          <w:left w:val="nil"/>
          <w:bottom w:val="nil"/>
          <w:right w:val="nil"/>
          <w:between w:val="nil"/>
        </w:pBdr>
        <w:rPr>
          <w:rFonts w:ascii="Century Gothic" w:hAnsi="Century Gothic"/>
        </w:rPr>
      </w:pPr>
      <w:r>
        <w:rPr>
          <w:rFonts w:ascii="Century Gothic" w:hAnsi="Century Gothic"/>
        </w:rPr>
        <w:t>Below are some key items to understand</w:t>
      </w:r>
      <w:r w:rsidR="00E45F3D" w:rsidRPr="00E45F3D">
        <w:t xml:space="preserve"> </w:t>
      </w:r>
      <w:r w:rsidR="00E45F3D" w:rsidRPr="00E45F3D">
        <w:rPr>
          <w:rFonts w:ascii="Century Gothic" w:hAnsi="Century Gothic"/>
        </w:rPr>
        <w:t>in order to conceptualise the critical metering and coupling points for an illustrative wheeling network</w:t>
      </w:r>
      <w:r w:rsidR="002840DC">
        <w:rPr>
          <w:rFonts w:ascii="Century Gothic" w:hAnsi="Century Gothic"/>
        </w:rPr>
        <w:t>:</w:t>
      </w:r>
    </w:p>
    <w:p w14:paraId="63537BC5" w14:textId="77777777" w:rsidR="00EC4F68" w:rsidRPr="00831A39" w:rsidRDefault="00EC4F68" w:rsidP="00871EE8">
      <w:pPr>
        <w:numPr>
          <w:ilvl w:val="0"/>
          <w:numId w:val="43"/>
        </w:numPr>
        <w:spacing w:after="160" w:line="259" w:lineRule="auto"/>
        <w:contextualSpacing/>
        <w:rPr>
          <w:rFonts w:ascii="Century Gothic" w:eastAsia="Calibri" w:hAnsi="Century Gothic" w:cs="Times New Roman"/>
          <w:kern w:val="2"/>
          <w:lang w:eastAsia="en-US"/>
          <w14:ligatures w14:val="standardContextual"/>
        </w:rPr>
      </w:pPr>
      <w:r w:rsidRPr="00831A39">
        <w:rPr>
          <w:rFonts w:ascii="Century Gothic" w:eastAsia="Calibri" w:hAnsi="Century Gothic" w:cs="Times New Roman"/>
          <w:noProof/>
          <w:kern w:val="2"/>
          <w:lang w:eastAsia="en-US"/>
          <w14:ligatures w14:val="standardContextual"/>
        </w:rPr>
        <mc:AlternateContent>
          <mc:Choice Requires="wps">
            <w:drawing>
              <wp:anchor distT="0" distB="0" distL="114300" distR="114300" simplePos="0" relativeHeight="251658242" behindDoc="0" locked="0" layoutInCell="1" allowOverlap="1" wp14:anchorId="1E6ADCE0" wp14:editId="0EEA4EF1">
                <wp:simplePos x="0" y="0"/>
                <wp:positionH relativeFrom="column">
                  <wp:posOffset>120650</wp:posOffset>
                </wp:positionH>
                <wp:positionV relativeFrom="paragraph">
                  <wp:posOffset>6350</wp:posOffset>
                </wp:positionV>
                <wp:extent cx="2463800" cy="166646"/>
                <wp:effectExtent l="0" t="0" r="0" b="5080"/>
                <wp:wrapNone/>
                <wp:docPr id="26" name="Oval 26"/>
                <wp:cNvGraphicFramePr/>
                <a:graphic xmlns:a="http://schemas.openxmlformats.org/drawingml/2006/main">
                  <a:graphicData uri="http://schemas.microsoft.com/office/word/2010/wordprocessingShape">
                    <wps:wsp>
                      <wps:cNvSpPr/>
                      <wps:spPr>
                        <a:xfrm>
                          <a:off x="0" y="0"/>
                          <a:ext cx="2463800" cy="166646"/>
                        </a:xfrm>
                        <a:prstGeom prst="ellipse">
                          <a:avLst/>
                        </a:prstGeom>
                        <a:solidFill>
                          <a:srgbClr val="C00000">
                            <a:alpha val="27000"/>
                          </a:srgbClr>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7883AEC0" id="Oval 26" o:spid="_x0000_s1026" style="position:absolute;margin-left:9.5pt;margin-top:.5pt;width:194pt;height:13.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" fillcolor="#c00000" stroked="f" strokeweight="1pt">
                <v:fill opacity="17733f"/>
                <v:stroke joinstyle="miter"/>
              </v:oval>
            </w:pict>
          </mc:Fallback>
        </mc:AlternateContent>
      </w:r>
      <w:r w:rsidRPr="00831A39">
        <w:rPr>
          <w:rFonts w:ascii="Century Gothic" w:eastAsia="Calibri" w:hAnsi="Century Gothic" w:cs="Times New Roman"/>
          <w:kern w:val="2"/>
          <w:lang w:eastAsia="en-US"/>
          <w14:ligatures w14:val="standardContextual"/>
        </w:rPr>
        <w:t xml:space="preserve">Point of Common Coupling (PCC): </w:t>
      </w:r>
    </w:p>
    <w:p w14:paraId="2A0BF9E4" w14:textId="21C3798B" w:rsidR="00EC4F68" w:rsidRPr="00831A39" w:rsidRDefault="00EC4F68" w:rsidP="001B6D3E">
      <w:pPr>
        <w:spacing w:after="160" w:line="259" w:lineRule="auto"/>
        <w:ind w:left="360"/>
        <w:rPr>
          <w:rFonts w:ascii="Century Gothic" w:eastAsia="Calibri" w:hAnsi="Century Gothic" w:cs="Times New Roman"/>
          <w:i/>
          <w:iCs/>
          <w:kern w:val="2"/>
          <w:lang w:eastAsia="en-US"/>
          <w14:ligatures w14:val="standardContextual"/>
        </w:rPr>
      </w:pPr>
      <w:r w:rsidRPr="00831A39">
        <w:rPr>
          <w:rFonts w:ascii="Century Gothic" w:eastAsia="Calibri" w:hAnsi="Century Gothic" w:cs="Times New Roman"/>
          <w:i/>
          <w:iCs/>
          <w:kern w:val="2"/>
          <w:lang w:eastAsia="en-US"/>
          <w14:ligatures w14:val="standardContextual"/>
        </w:rPr>
        <w:t>The electrical node, typically a busbar, on the Network Service Provider's network, electrically nearest to the Embedded Generation’s facility, at which more than one customer is or could be connected or metered.</w:t>
      </w:r>
    </w:p>
    <w:p w14:paraId="287E6477" w14:textId="631A836A" w:rsidR="00EC4F68" w:rsidRPr="00831A39" w:rsidRDefault="001B6D3E" w:rsidP="00871EE8">
      <w:pPr>
        <w:numPr>
          <w:ilvl w:val="0"/>
          <w:numId w:val="43"/>
        </w:numPr>
        <w:spacing w:after="160" w:line="259" w:lineRule="auto"/>
        <w:contextualSpacing/>
        <w:rPr>
          <w:rFonts w:ascii="Century Gothic" w:eastAsia="Calibri" w:hAnsi="Century Gothic" w:cs="Times New Roman"/>
          <w:kern w:val="2"/>
          <w:lang w:eastAsia="en-US"/>
          <w14:ligatures w14:val="standardContextual"/>
        </w:rPr>
      </w:pPr>
      <w:r w:rsidRPr="00831A39">
        <w:rPr>
          <w:rFonts w:ascii="Century Gothic" w:eastAsia="Calibri" w:hAnsi="Century Gothic" w:cs="Times New Roman"/>
          <w:noProof/>
          <w:kern w:val="2"/>
          <w:lang w:eastAsia="en-US"/>
          <w14:ligatures w14:val="standardContextual"/>
        </w:rPr>
        <mc:AlternateContent>
          <mc:Choice Requires="wps">
            <w:drawing>
              <wp:anchor distT="0" distB="0" distL="114300" distR="114300" simplePos="0" relativeHeight="251658252" behindDoc="0" locked="0" layoutInCell="1" allowOverlap="1" wp14:anchorId="43E5672D" wp14:editId="1E84583C">
                <wp:simplePos x="0" y="0"/>
                <wp:positionH relativeFrom="column">
                  <wp:posOffset>7620</wp:posOffset>
                </wp:positionH>
                <wp:positionV relativeFrom="paragraph">
                  <wp:posOffset>12065</wp:posOffset>
                </wp:positionV>
                <wp:extent cx="2385060" cy="190500"/>
                <wp:effectExtent l="0" t="0" r="0" b="0"/>
                <wp:wrapNone/>
                <wp:docPr id="1" name="Oval 1"/>
                <wp:cNvGraphicFramePr/>
                <a:graphic xmlns:a="http://schemas.openxmlformats.org/drawingml/2006/main">
                  <a:graphicData uri="http://schemas.microsoft.com/office/word/2010/wordprocessingShape">
                    <wps:wsp>
                      <wps:cNvSpPr/>
                      <wps:spPr>
                        <a:xfrm>
                          <a:off x="0" y="0"/>
                          <a:ext cx="2385060" cy="190500"/>
                        </a:xfrm>
                        <a:prstGeom prst="ellipse">
                          <a:avLst/>
                        </a:prstGeom>
                        <a:solidFill>
                          <a:srgbClr val="FFC000">
                            <a:alpha val="27000"/>
                          </a:srgbClr>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2ED7D74F" id="Oval 1" o:spid="_x0000_s1026" style="position:absolute;margin-left:.6pt;margin-top:.95pt;width:187.8pt;height:1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" fillcolor="#ffc000" stroked="f" strokeweight="1pt">
                <v:fill opacity="17733f"/>
                <v:stroke joinstyle="miter"/>
              </v:oval>
            </w:pict>
          </mc:Fallback>
        </mc:AlternateContent>
      </w:r>
      <w:r w:rsidR="00EC4F68" w:rsidRPr="00831A39">
        <w:rPr>
          <w:rFonts w:ascii="Century Gothic" w:eastAsia="Calibri" w:hAnsi="Century Gothic" w:cs="Times New Roman"/>
          <w:kern w:val="2"/>
          <w:lang w:eastAsia="en-US"/>
          <w14:ligatures w14:val="standardContextual"/>
        </w:rPr>
        <w:t xml:space="preserve">Point(s) of Connection (POC): </w:t>
      </w:r>
    </w:p>
    <w:p w14:paraId="36B34414" w14:textId="06BC05D1" w:rsidR="00EC4F68" w:rsidRPr="00831A39" w:rsidRDefault="00EC4F68" w:rsidP="001B6D3E">
      <w:pPr>
        <w:spacing w:after="160" w:line="259" w:lineRule="auto"/>
        <w:ind w:left="360"/>
        <w:rPr>
          <w:rFonts w:ascii="Century Gothic" w:eastAsia="Calibri" w:hAnsi="Century Gothic" w:cs="Times New Roman"/>
          <w:i/>
          <w:iCs/>
          <w:kern w:val="2"/>
          <w:lang w:eastAsia="en-US"/>
          <w14:ligatures w14:val="standardContextual"/>
        </w:rPr>
      </w:pPr>
      <w:r w:rsidRPr="00831A39">
        <w:rPr>
          <w:rFonts w:ascii="Century Gothic" w:eastAsia="Calibri" w:hAnsi="Century Gothic" w:cs="Times New Roman"/>
          <w:i/>
          <w:iCs/>
          <w:kern w:val="2"/>
          <w:lang w:eastAsia="en-US"/>
          <w14:ligatures w14:val="standardContextual"/>
        </w:rPr>
        <w:t>The electrical node(s) on the Network Service Provider's network where the Embedded Generator's electrical equipment is physically connected to the Network Service Provider's electrical equipment.</w:t>
      </w:r>
    </w:p>
    <w:p w14:paraId="16478A8F" w14:textId="7637CB16" w:rsidR="00EC4F68" w:rsidRPr="00831A39" w:rsidRDefault="001B6D3E" w:rsidP="00871EE8">
      <w:pPr>
        <w:numPr>
          <w:ilvl w:val="0"/>
          <w:numId w:val="43"/>
        </w:numPr>
        <w:spacing w:after="160" w:line="259" w:lineRule="auto"/>
        <w:contextualSpacing/>
        <w:rPr>
          <w:rFonts w:ascii="Century Gothic" w:eastAsia="Calibri" w:hAnsi="Century Gothic" w:cs="Times New Roman"/>
          <w:kern w:val="2"/>
          <w:lang w:eastAsia="en-US"/>
          <w14:ligatures w14:val="standardContextual"/>
        </w:rPr>
      </w:pPr>
      <w:r w:rsidRPr="00831A39">
        <w:rPr>
          <w:rFonts w:ascii="Century Gothic" w:eastAsia="Calibri" w:hAnsi="Century Gothic" w:cs="Times New Roman"/>
          <w:noProof/>
          <w:kern w:val="2"/>
          <w:lang w:eastAsia="en-US"/>
          <w14:ligatures w14:val="standardContextual"/>
        </w:rPr>
        <mc:AlternateContent>
          <mc:Choice Requires="wps">
            <w:drawing>
              <wp:anchor distT="0" distB="0" distL="114300" distR="114300" simplePos="0" relativeHeight="251658253" behindDoc="0" locked="0" layoutInCell="1" allowOverlap="1" wp14:anchorId="606C48C7" wp14:editId="091D2060">
                <wp:simplePos x="0" y="0"/>
                <wp:positionH relativeFrom="column">
                  <wp:posOffset>82550</wp:posOffset>
                </wp:positionH>
                <wp:positionV relativeFrom="paragraph">
                  <wp:posOffset>2540</wp:posOffset>
                </wp:positionV>
                <wp:extent cx="2385060" cy="190500"/>
                <wp:effectExtent l="0" t="0" r="0" b="0"/>
                <wp:wrapNone/>
                <wp:docPr id="27" name="Oval 27"/>
                <wp:cNvGraphicFramePr/>
                <a:graphic xmlns:a="http://schemas.openxmlformats.org/drawingml/2006/main">
                  <a:graphicData uri="http://schemas.microsoft.com/office/word/2010/wordprocessingShape">
                    <wps:wsp>
                      <wps:cNvSpPr/>
                      <wps:spPr>
                        <a:xfrm>
                          <a:off x="0" y="0"/>
                          <a:ext cx="2385060" cy="190500"/>
                        </a:xfrm>
                        <a:prstGeom prst="ellipse">
                          <a:avLst/>
                        </a:prstGeom>
                        <a:solidFill>
                          <a:srgbClr val="70AD47">
                            <a:alpha val="27000"/>
                          </a:srgbClr>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30677EAD" id="Oval 27" o:spid="_x0000_s1026" style="position:absolute;margin-left:6.5pt;margin-top:.2pt;width:187.8pt;height:1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" fillcolor="#70ad47" stroked="f" strokeweight="1pt">
                <v:fill opacity="17733f"/>
                <v:stroke joinstyle="miter"/>
              </v:oval>
            </w:pict>
          </mc:Fallback>
        </mc:AlternateContent>
      </w:r>
      <w:r w:rsidR="00EC4F68" w:rsidRPr="00831A39">
        <w:rPr>
          <w:rFonts w:ascii="Century Gothic" w:eastAsia="Calibri" w:hAnsi="Century Gothic" w:cs="Times New Roman"/>
          <w:kern w:val="2"/>
          <w:lang w:eastAsia="en-US"/>
          <w14:ligatures w14:val="standardContextual"/>
        </w:rPr>
        <w:t xml:space="preserve">Point of Utility Coupling (PUC): </w:t>
      </w:r>
    </w:p>
    <w:p w14:paraId="4FFA35CA" w14:textId="7729A5B2" w:rsidR="00EC4F68" w:rsidRPr="00831A39" w:rsidRDefault="00EC4F68" w:rsidP="001B6D3E">
      <w:pPr>
        <w:spacing w:after="160" w:line="259" w:lineRule="auto"/>
        <w:ind w:left="360"/>
        <w:rPr>
          <w:rFonts w:ascii="Century Gothic" w:eastAsia="Calibri" w:hAnsi="Century Gothic" w:cs="Times New Roman"/>
          <w:i/>
          <w:iCs/>
          <w:kern w:val="2"/>
          <w:lang w:eastAsia="en-US"/>
          <w14:ligatures w14:val="standardContextual"/>
        </w:rPr>
      </w:pPr>
      <w:r w:rsidRPr="00831A39">
        <w:rPr>
          <w:rFonts w:ascii="Century Gothic" w:eastAsia="Calibri" w:hAnsi="Century Gothic" w:cs="Times New Roman"/>
          <w:i/>
          <w:iCs/>
          <w:kern w:val="2"/>
          <w:lang w:eastAsia="en-US"/>
          <w14:ligatures w14:val="standardContextual"/>
        </w:rPr>
        <w:t>The PUC may be located near the Point of Connection or may be another point(s) within the Embedded Generator's facility between the Point of Generator Connection and Point of Connection.</w:t>
      </w:r>
    </w:p>
    <w:p w14:paraId="4CEE6E3C" w14:textId="77777777" w:rsidR="00EC4F68" w:rsidRPr="00831A39" w:rsidRDefault="00EC4F68" w:rsidP="00871EE8">
      <w:pPr>
        <w:numPr>
          <w:ilvl w:val="0"/>
          <w:numId w:val="43"/>
        </w:numPr>
        <w:spacing w:after="160" w:line="259" w:lineRule="auto"/>
        <w:contextualSpacing/>
        <w:rPr>
          <w:rFonts w:ascii="Century Gothic" w:eastAsia="Calibri" w:hAnsi="Century Gothic" w:cs="Times New Roman"/>
          <w:kern w:val="2"/>
          <w:lang w:eastAsia="en-US"/>
          <w14:ligatures w14:val="standardContextual"/>
        </w:rPr>
      </w:pPr>
      <w:r w:rsidRPr="00831A39">
        <w:rPr>
          <w:rFonts w:ascii="Century Gothic" w:eastAsia="Calibri" w:hAnsi="Century Gothic" w:cs="Times New Roman"/>
          <w:noProof/>
          <w:kern w:val="2"/>
          <w:lang w:eastAsia="en-US"/>
          <w14:ligatures w14:val="standardContextual"/>
        </w:rPr>
        <mc:AlternateContent>
          <mc:Choice Requires="wps">
            <w:drawing>
              <wp:anchor distT="0" distB="0" distL="114300" distR="114300" simplePos="0" relativeHeight="251658254" behindDoc="0" locked="0" layoutInCell="1" allowOverlap="1" wp14:anchorId="30B0C6B6" wp14:editId="08C3F456">
                <wp:simplePos x="0" y="0"/>
                <wp:positionH relativeFrom="column">
                  <wp:posOffset>143841</wp:posOffset>
                </wp:positionH>
                <wp:positionV relativeFrom="paragraph">
                  <wp:posOffset>7620</wp:posOffset>
                </wp:positionV>
                <wp:extent cx="2385060" cy="190500"/>
                <wp:effectExtent l="0" t="0" r="0" b="0"/>
                <wp:wrapNone/>
                <wp:docPr id="28" name="Oval 28"/>
                <wp:cNvGraphicFramePr/>
                <a:graphic xmlns:a="http://schemas.openxmlformats.org/drawingml/2006/main">
                  <a:graphicData uri="http://schemas.microsoft.com/office/word/2010/wordprocessingShape">
                    <wps:wsp>
                      <wps:cNvSpPr/>
                      <wps:spPr>
                        <a:xfrm>
                          <a:off x="0" y="0"/>
                          <a:ext cx="2385060" cy="190500"/>
                        </a:xfrm>
                        <a:prstGeom prst="ellipse">
                          <a:avLst/>
                        </a:prstGeom>
                        <a:solidFill>
                          <a:srgbClr val="4472C4">
                            <a:alpha val="27000"/>
                          </a:srgbClr>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2CA21FBA" id="Oval 28" o:spid="_x0000_s1026" style="position:absolute;margin-left:11.35pt;margin-top:.6pt;width:187.8pt;height:1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" fillcolor="#4472c4" stroked="f" strokeweight="1pt">
                <v:fill opacity="17733f"/>
                <v:stroke joinstyle="miter"/>
              </v:oval>
            </w:pict>
          </mc:Fallback>
        </mc:AlternateContent>
      </w:r>
      <w:r w:rsidRPr="00831A39">
        <w:rPr>
          <w:rFonts w:ascii="Century Gothic" w:eastAsia="Calibri" w:hAnsi="Century Gothic" w:cs="Times New Roman"/>
          <w:kern w:val="2"/>
          <w:lang w:eastAsia="en-US"/>
          <w14:ligatures w14:val="standardContextual"/>
        </w:rPr>
        <w:t xml:space="preserve">Point of Generator Connection (PGC): </w:t>
      </w:r>
    </w:p>
    <w:p w14:paraId="2EFE882F" w14:textId="74C81BBC" w:rsidR="00EC4F68" w:rsidRPr="00831A39" w:rsidRDefault="00D238B2" w:rsidP="001B6D3E">
      <w:pPr>
        <w:spacing w:after="160" w:line="259" w:lineRule="auto"/>
        <w:ind w:left="360"/>
        <w:rPr>
          <w:rFonts w:ascii="Century Gothic" w:eastAsia="Calibri" w:hAnsi="Century Gothic" w:cs="Times New Roman"/>
          <w:i/>
          <w:iCs/>
          <w:kern w:val="2"/>
          <w:lang w:eastAsia="en-US"/>
          <w14:ligatures w14:val="standardContextual"/>
        </w:rPr>
      </w:pPr>
      <w:r w:rsidRPr="00831A39">
        <w:rPr>
          <w:rFonts w:ascii="Century Gothic" w:eastAsia="Calibri" w:hAnsi="Century Gothic" w:cs="Times New Roman"/>
          <w:noProof/>
          <w:kern w:val="2"/>
          <w:lang w:eastAsia="en-US"/>
          <w14:ligatures w14:val="standardContextual"/>
        </w:rPr>
        <w:lastRenderedPageBreak/>
        <mc:AlternateContent>
          <mc:Choice Requires="wps">
            <w:drawing>
              <wp:anchor distT="0" distB="0" distL="114300" distR="114300" simplePos="0" relativeHeight="251658255" behindDoc="0" locked="0" layoutInCell="1" allowOverlap="1" wp14:anchorId="60812DE7" wp14:editId="368E886A">
                <wp:simplePos x="0" y="0"/>
                <wp:positionH relativeFrom="column">
                  <wp:posOffset>59690</wp:posOffset>
                </wp:positionH>
                <wp:positionV relativeFrom="paragraph">
                  <wp:posOffset>425656</wp:posOffset>
                </wp:positionV>
                <wp:extent cx="2385060" cy="190500"/>
                <wp:effectExtent l="0" t="0" r="0" b="0"/>
                <wp:wrapNone/>
                <wp:docPr id="29" name="Oval 29"/>
                <wp:cNvGraphicFramePr/>
                <a:graphic xmlns:a="http://schemas.openxmlformats.org/drawingml/2006/main">
                  <a:graphicData uri="http://schemas.microsoft.com/office/word/2010/wordprocessingShape">
                    <wps:wsp>
                      <wps:cNvSpPr/>
                      <wps:spPr>
                        <a:xfrm>
                          <a:off x="0" y="0"/>
                          <a:ext cx="2385060" cy="190500"/>
                        </a:xfrm>
                        <a:prstGeom prst="ellipse">
                          <a:avLst/>
                        </a:prstGeom>
                        <a:solidFill>
                          <a:srgbClr val="ED7D31">
                            <a:alpha val="27000"/>
                          </a:srgbClr>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25C2289C" id="Oval 29" o:spid="_x0000_s1026" style="position:absolute;margin-left:4.7pt;margin-top:33.5pt;width:187.8pt;height:1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" fillcolor="#ed7d31" stroked="f" strokeweight="1pt">
                <v:fill opacity="17733f"/>
                <v:stroke joinstyle="miter"/>
              </v:oval>
            </w:pict>
          </mc:Fallback>
        </mc:AlternateContent>
      </w:r>
      <w:r w:rsidR="00EC4F68" w:rsidRPr="00831A39">
        <w:rPr>
          <w:rFonts w:ascii="Century Gothic" w:eastAsia="Calibri" w:hAnsi="Century Gothic" w:cs="Times New Roman"/>
          <w:i/>
          <w:iCs/>
          <w:kern w:val="2"/>
          <w:lang w:eastAsia="en-US"/>
          <w14:ligatures w14:val="standardContextual"/>
        </w:rPr>
        <w:t>The circuit-breaker and associated ancillary equipment that connects a generator to any electrical network. The PGC is the circuit-breaker electrically closest to the generator.</w:t>
      </w:r>
    </w:p>
    <w:p w14:paraId="75BB3AA1" w14:textId="19232827" w:rsidR="00EC4F68" w:rsidRPr="00831A39" w:rsidRDefault="00EC4F68" w:rsidP="00871EE8">
      <w:pPr>
        <w:numPr>
          <w:ilvl w:val="0"/>
          <w:numId w:val="43"/>
        </w:numPr>
        <w:spacing w:after="160" w:line="259" w:lineRule="auto"/>
        <w:contextualSpacing/>
        <w:rPr>
          <w:rFonts w:ascii="Century Gothic" w:eastAsia="Calibri" w:hAnsi="Century Gothic" w:cs="Times New Roman"/>
          <w:kern w:val="2"/>
          <w:lang w:eastAsia="en-US"/>
          <w14:ligatures w14:val="standardContextual"/>
        </w:rPr>
      </w:pPr>
      <w:r w:rsidRPr="00831A39">
        <w:rPr>
          <w:rFonts w:ascii="Century Gothic" w:eastAsia="Calibri" w:hAnsi="Century Gothic" w:cs="Times New Roman"/>
          <w:kern w:val="2"/>
          <w:lang w:eastAsia="en-US"/>
          <w14:ligatures w14:val="standardContextual"/>
        </w:rPr>
        <w:t xml:space="preserve">Point(s) of Supply (POS): </w:t>
      </w:r>
    </w:p>
    <w:p w14:paraId="6725C56D" w14:textId="6537D557" w:rsidR="00EC4F68" w:rsidRPr="00831A39" w:rsidRDefault="00EC4F68" w:rsidP="001B6D3E">
      <w:pPr>
        <w:spacing w:after="160" w:line="259" w:lineRule="auto"/>
        <w:ind w:left="360"/>
        <w:rPr>
          <w:rFonts w:ascii="Century Gothic" w:eastAsia="Calibri" w:hAnsi="Century Gothic" w:cs="Times New Roman"/>
          <w:i/>
          <w:iCs/>
          <w:kern w:val="2"/>
          <w:lang w:eastAsia="en-US"/>
          <w14:ligatures w14:val="standardContextual"/>
        </w:rPr>
      </w:pPr>
      <w:r w:rsidRPr="00831A39">
        <w:rPr>
          <w:rFonts w:ascii="Century Gothic" w:eastAsia="Calibri" w:hAnsi="Century Gothic" w:cs="Times New Roman"/>
          <w:i/>
          <w:iCs/>
          <w:kern w:val="2"/>
          <w:lang w:eastAsia="en-US"/>
          <w14:ligatures w14:val="standardContextual"/>
        </w:rPr>
        <w:t>The point(s) on the Network Service Provider's network from where electricity is supplied to the Embedded Generator by the Network Service Provider, or from where the Embedded Generator supplies electricity to the Network Service Provider.</w:t>
      </w:r>
    </w:p>
    <w:p w14:paraId="2F13DA70" w14:textId="3C443811" w:rsidR="00EC4F68" w:rsidRPr="00831A39" w:rsidRDefault="001B6D3E" w:rsidP="00871EE8">
      <w:pPr>
        <w:numPr>
          <w:ilvl w:val="0"/>
          <w:numId w:val="43"/>
        </w:numPr>
        <w:spacing w:after="160" w:line="259" w:lineRule="auto"/>
        <w:contextualSpacing/>
        <w:rPr>
          <w:rFonts w:ascii="Century Gothic" w:eastAsia="Calibri" w:hAnsi="Century Gothic" w:cs="Times New Roman"/>
          <w:kern w:val="2"/>
          <w:lang w:eastAsia="en-US"/>
          <w14:ligatures w14:val="standardContextual"/>
        </w:rPr>
      </w:pPr>
      <w:r w:rsidRPr="00831A39">
        <w:rPr>
          <w:rFonts w:ascii="Century Gothic" w:eastAsia="Calibri" w:hAnsi="Century Gothic" w:cs="Times New Roman"/>
          <w:noProof/>
          <w:kern w:val="2"/>
          <w:lang w:eastAsia="en-US"/>
          <w14:ligatures w14:val="standardContextual"/>
        </w:rPr>
        <mc:AlternateContent>
          <mc:Choice Requires="wps">
            <w:drawing>
              <wp:anchor distT="0" distB="0" distL="114300" distR="114300" simplePos="0" relativeHeight="251658256" behindDoc="0" locked="0" layoutInCell="1" allowOverlap="1" wp14:anchorId="41E4C40A" wp14:editId="64366D35">
                <wp:simplePos x="0" y="0"/>
                <wp:positionH relativeFrom="column">
                  <wp:posOffset>166370</wp:posOffset>
                </wp:positionH>
                <wp:positionV relativeFrom="paragraph">
                  <wp:posOffset>12599</wp:posOffset>
                </wp:positionV>
                <wp:extent cx="2385060" cy="190500"/>
                <wp:effectExtent l="0" t="0" r="0" b="0"/>
                <wp:wrapNone/>
                <wp:docPr id="30" name="Oval 30"/>
                <wp:cNvGraphicFramePr/>
                <a:graphic xmlns:a="http://schemas.openxmlformats.org/drawingml/2006/main">
                  <a:graphicData uri="http://schemas.microsoft.com/office/word/2010/wordprocessingShape">
                    <wps:wsp>
                      <wps:cNvSpPr/>
                      <wps:spPr>
                        <a:xfrm>
                          <a:off x="0" y="0"/>
                          <a:ext cx="2385060" cy="190500"/>
                        </a:xfrm>
                        <a:prstGeom prst="ellipse">
                          <a:avLst/>
                        </a:prstGeom>
                        <a:solidFill>
                          <a:srgbClr val="7030A0">
                            <a:alpha val="27000"/>
                          </a:srgbClr>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28854734" id="Oval 30" o:spid="_x0000_s1026" style="position:absolute;margin-left:13.1pt;margin-top:1pt;width:187.8pt;height:1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" fillcolor="#7030a0" stroked="f" strokeweight="1pt">
                <v:fill opacity="17733f"/>
                <v:stroke joinstyle="miter"/>
              </v:oval>
            </w:pict>
          </mc:Fallback>
        </mc:AlternateContent>
      </w:r>
      <w:r w:rsidR="00EC4F68" w:rsidRPr="00831A39">
        <w:rPr>
          <w:rFonts w:ascii="Century Gothic" w:eastAsia="Calibri" w:hAnsi="Century Gothic" w:cs="Times New Roman"/>
          <w:kern w:val="2"/>
          <w:lang w:eastAsia="en-US"/>
          <w14:ligatures w14:val="standardContextual"/>
        </w:rPr>
        <w:t xml:space="preserve">Renewable Power Plant (RPP): </w:t>
      </w:r>
    </w:p>
    <w:p w14:paraId="5591DAC2" w14:textId="3D73E78C" w:rsidR="007E58C0" w:rsidRPr="00831A39" w:rsidRDefault="00EC4F68" w:rsidP="001B6D3E">
      <w:pPr>
        <w:spacing w:after="160" w:line="259" w:lineRule="auto"/>
        <w:ind w:left="360"/>
        <w:rPr>
          <w:rFonts w:ascii="Century Gothic" w:eastAsia="Calibri" w:hAnsi="Century Gothic" w:cs="Times New Roman"/>
          <w:i/>
          <w:iCs/>
          <w:kern w:val="2"/>
          <w:lang w:eastAsia="en-US"/>
          <w14:ligatures w14:val="standardContextual"/>
        </w:rPr>
      </w:pPr>
      <w:r w:rsidRPr="00831A39">
        <w:rPr>
          <w:rFonts w:ascii="Century Gothic" w:eastAsia="Calibri" w:hAnsi="Century Gothic" w:cs="Times New Roman"/>
          <w:i/>
          <w:iCs/>
          <w:kern w:val="2"/>
          <w:lang w:eastAsia="en-US"/>
          <w14:ligatures w14:val="standardContextual"/>
        </w:rPr>
        <w:t>A unit or a system of generating units producing electricity based on a primary renewable energy source.</w:t>
      </w:r>
    </w:p>
    <w:p w14:paraId="37DD0390" w14:textId="48128B57" w:rsidR="007E58C0" w:rsidRPr="00831A39" w:rsidRDefault="007E58C0" w:rsidP="00D97564">
      <w:pPr>
        <w:spacing w:after="160" w:line="259" w:lineRule="auto"/>
        <w:ind w:left="360"/>
        <w:rPr>
          <w:rFonts w:ascii="Century Gothic" w:eastAsia="Calibri" w:hAnsi="Century Gothic" w:cs="Times New Roman"/>
          <w:kern w:val="2"/>
          <w:lang w:eastAsia="en-US"/>
          <w14:ligatures w14:val="standardContextual"/>
        </w:rPr>
      </w:pPr>
      <w:r w:rsidRPr="00831A39">
        <w:rPr>
          <w:rFonts w:ascii="Century Gothic" w:eastAsia="Calibri" w:hAnsi="Century Gothic" w:cs="Times New Roman"/>
          <w:kern w:val="2"/>
          <w:lang w:eastAsia="en-US"/>
          <w14:ligatures w14:val="standardContextual"/>
        </w:rPr>
        <w:t>The diagram below depicts the locations of the critical metering and coupling points illustratively on a wheeling network:</w:t>
      </w:r>
      <w:r w:rsidR="00E34683">
        <w:rPr>
          <w:rFonts w:ascii="Century Gothic" w:eastAsia="Calibri" w:hAnsi="Century Gothic" w:cs="Times New Roman"/>
          <w:kern w:val="2"/>
          <w:lang w:eastAsia="en-US"/>
          <w14:ligatures w14:val="standardContextual"/>
        </w:rPr>
        <w:t xml:space="preserve"> </w:t>
      </w:r>
    </w:p>
    <w:p w14:paraId="1F798549" w14:textId="13FB09D4" w:rsidR="00D33D65" w:rsidRPr="007E58C0" w:rsidRDefault="00D33D65" w:rsidP="00D97564">
      <w:pPr>
        <w:spacing w:after="160" w:line="259" w:lineRule="auto"/>
        <w:ind w:left="360"/>
        <w:rPr>
          <w:rFonts w:ascii="Century Gothic" w:eastAsia="Calibri" w:hAnsi="Century Gothic" w:cs="Times New Roman"/>
          <w:kern w:val="2"/>
          <w:sz w:val="22"/>
          <w:szCs w:val="22"/>
          <w:lang w:eastAsia="en-US"/>
          <w14:ligatures w14:val="standardContextual"/>
        </w:rPr>
      </w:pPr>
      <w:r>
        <w:rPr>
          <w:noProof/>
        </w:rPr>
        <w:drawing>
          <wp:inline distT="0" distB="0" distL="0" distR="0" wp14:anchorId="20B4C85C" wp14:editId="1C1D1D01">
            <wp:extent cx="4957445" cy="2777359"/>
            <wp:effectExtent l="76200" t="76200" r="128905" b="137795"/>
            <wp:docPr id="33" name="Picture 33">
              <a:extLst xmlns:a="http://schemas.openxmlformats.org/drawingml/2006/main">
                <a:ext uri="{FF2B5EF4-FFF2-40B4-BE49-F238E27FC236}">
                  <a16:creationId xmlns:a16="http://schemas.microsoft.com/office/drawing/2014/main" id="{94B2540A-1801-4D2F-9F0E-7DD8FA6931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94B2540A-1801-4D2F-9F0E-7DD8FA6931E9}"/>
                        </a:ext>
                      </a:extLst>
                    </pic:cNvPr>
                    <pic:cNvPicPr>
                      <a:picLocks noChangeAspect="1"/>
                    </pic:cNvPicPr>
                  </pic:nvPicPr>
                  <pic:blipFill rotWithShape="1">
                    <a:blip r:embed="rId33"/>
                    <a:srcRect l="3747" t="1559" r="2612" b="2337"/>
                    <a:stretch/>
                  </pic:blipFill>
                  <pic:spPr bwMode="auto">
                    <a:xfrm>
                      <a:off x="0" y="0"/>
                      <a:ext cx="4974600" cy="27869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BC30B7B" w14:textId="77777777" w:rsidR="00DC589A" w:rsidRDefault="00DC589A" w:rsidP="001620EA">
      <w:pPr>
        <w:pBdr>
          <w:top w:val="nil"/>
          <w:left w:val="nil"/>
          <w:bottom w:val="nil"/>
          <w:right w:val="nil"/>
          <w:between w:val="nil"/>
        </w:pBdr>
        <w:spacing w:beforeLines="60" w:before="144" w:afterLines="60" w:after="144" w:line="240" w:lineRule="auto"/>
        <w:rPr>
          <w:rFonts w:ascii="Century Gothic" w:hAnsi="Century Gothic"/>
        </w:rPr>
      </w:pPr>
      <w:r w:rsidRPr="1AE41EAE">
        <w:rPr>
          <w:rFonts w:ascii="Century Gothic" w:hAnsi="Century Gothic"/>
        </w:rPr>
        <w:t>The following metering and equipment are key to ensure accurate and valid metering for all stakeholders involved in the wheeling transaction</w:t>
      </w:r>
    </w:p>
    <w:p w14:paraId="249C3FF5" w14:textId="2706C49B" w:rsidR="00DC589A" w:rsidRPr="006B1A0D" w:rsidRDefault="00DC589A" w:rsidP="00871EE8">
      <w:pPr>
        <w:pStyle w:val="ListParagraph"/>
        <w:numPr>
          <w:ilvl w:val="0"/>
          <w:numId w:val="45"/>
        </w:numPr>
        <w:spacing w:beforeLines="60" w:before="144" w:afterLines="60" w:after="144" w:line="240" w:lineRule="auto"/>
        <w:contextualSpacing w:val="0"/>
        <w:rPr>
          <w:rFonts w:ascii="Century Gothic" w:eastAsia="Century Gothic" w:hAnsi="Century Gothic" w:cs="Century Gothic"/>
          <w:b/>
          <w:bCs/>
          <w:sz w:val="19"/>
          <w:szCs w:val="19"/>
        </w:rPr>
      </w:pPr>
      <w:r w:rsidRPr="006B1A0D">
        <w:rPr>
          <w:rFonts w:ascii="Century Gothic" w:eastAsia="Century Gothic" w:hAnsi="Century Gothic" w:cs="Century Gothic"/>
          <w:b/>
          <w:bCs/>
          <w:sz w:val="19"/>
          <w:szCs w:val="19"/>
        </w:rPr>
        <w:t xml:space="preserve">Current Transformers - </w:t>
      </w:r>
      <w:r w:rsidRPr="006B1A0D">
        <w:rPr>
          <w:rFonts w:ascii="Century Gothic" w:hAnsi="Century Gothic"/>
          <w:color w:val="000000" w:themeColor="text1"/>
        </w:rPr>
        <w:t xml:space="preserve">Metering circuits will use Class 0.2 </w:t>
      </w:r>
      <w:r w:rsidR="007534C3">
        <w:rPr>
          <w:rFonts w:ascii="Century Gothic" w:hAnsi="Century Gothic"/>
          <w:color w:val="000000" w:themeColor="text1"/>
        </w:rPr>
        <w:t xml:space="preserve">metering </w:t>
      </w:r>
      <w:r w:rsidR="00386D0C">
        <w:rPr>
          <w:rFonts w:ascii="Century Gothic" w:hAnsi="Century Gothic"/>
          <w:color w:val="000000" w:themeColor="text1"/>
        </w:rPr>
        <w:t>Current Transformers (</w:t>
      </w:r>
      <w:r w:rsidRPr="006B1A0D">
        <w:rPr>
          <w:rFonts w:ascii="Century Gothic" w:hAnsi="Century Gothic"/>
          <w:color w:val="000000" w:themeColor="text1"/>
        </w:rPr>
        <w:t>CTs</w:t>
      </w:r>
      <w:r w:rsidR="00386D0C">
        <w:rPr>
          <w:rFonts w:ascii="Century Gothic" w:hAnsi="Century Gothic"/>
          <w:color w:val="000000" w:themeColor="text1"/>
        </w:rPr>
        <w:t>)</w:t>
      </w:r>
      <w:r w:rsidRPr="006B1A0D">
        <w:rPr>
          <w:rFonts w:ascii="Century Gothic" w:hAnsi="Century Gothic"/>
          <w:color w:val="000000" w:themeColor="text1"/>
        </w:rPr>
        <w:t xml:space="preserve"> as a minimum, with Class 0.2 </w:t>
      </w:r>
      <w:r w:rsidR="007534C3">
        <w:rPr>
          <w:rFonts w:ascii="Century Gothic" w:hAnsi="Century Gothic"/>
          <w:color w:val="000000" w:themeColor="text1"/>
        </w:rPr>
        <w:t xml:space="preserve">metering </w:t>
      </w:r>
      <w:r w:rsidRPr="006B1A0D">
        <w:rPr>
          <w:rFonts w:ascii="Century Gothic" w:hAnsi="Century Gothic"/>
          <w:color w:val="000000" w:themeColor="text1"/>
        </w:rPr>
        <w:t>CTs being preferred, the burden rating</w:t>
      </w:r>
      <w:r w:rsidR="00831537">
        <w:rPr>
          <w:rFonts w:ascii="Century Gothic" w:hAnsi="Century Gothic"/>
          <w:color w:val="000000" w:themeColor="text1"/>
        </w:rPr>
        <w:t xml:space="preserve"> (</w:t>
      </w:r>
      <w:r w:rsidR="00831537" w:rsidRPr="00831537">
        <w:rPr>
          <w:rFonts w:ascii="Century Gothic" w:hAnsi="Century Gothic"/>
          <w:color w:val="000000" w:themeColor="text1"/>
        </w:rPr>
        <w:t>the maximum load that can be applied</w:t>
      </w:r>
      <w:r w:rsidR="009A2678">
        <w:rPr>
          <w:rFonts w:ascii="Century Gothic" w:hAnsi="Century Gothic"/>
          <w:color w:val="000000" w:themeColor="text1"/>
        </w:rPr>
        <w:t>)</w:t>
      </w:r>
      <w:r w:rsidRPr="006B1A0D">
        <w:rPr>
          <w:rFonts w:ascii="Century Gothic" w:hAnsi="Century Gothic"/>
          <w:color w:val="000000" w:themeColor="text1"/>
        </w:rPr>
        <w:t xml:space="preserve"> of the CT must be correctly specified for the application in order to maintain the integrity of the metering circuit. </w:t>
      </w:r>
    </w:p>
    <w:p w14:paraId="194E5E6B" w14:textId="1902B00E" w:rsidR="00DC589A" w:rsidRPr="006B1A0D" w:rsidRDefault="00DC589A" w:rsidP="00871EE8">
      <w:pPr>
        <w:pStyle w:val="ListParagraph"/>
        <w:numPr>
          <w:ilvl w:val="0"/>
          <w:numId w:val="45"/>
        </w:numPr>
        <w:spacing w:beforeLines="60" w:before="144" w:afterLines="60" w:after="144" w:line="240" w:lineRule="auto"/>
        <w:contextualSpacing w:val="0"/>
        <w:rPr>
          <w:rFonts w:ascii="Century Gothic" w:eastAsia="Century Gothic" w:hAnsi="Century Gothic" w:cs="Century Gothic"/>
          <w:b/>
          <w:bCs/>
          <w:sz w:val="19"/>
          <w:szCs w:val="19"/>
        </w:rPr>
      </w:pPr>
      <w:r w:rsidRPr="006B1A0D">
        <w:rPr>
          <w:rFonts w:ascii="Century Gothic" w:eastAsia="Century Gothic" w:hAnsi="Century Gothic" w:cs="Century Gothic"/>
          <w:b/>
          <w:bCs/>
          <w:sz w:val="19"/>
          <w:szCs w:val="19"/>
        </w:rPr>
        <w:t xml:space="preserve">Voltage Transformers - </w:t>
      </w:r>
      <w:r w:rsidRPr="006B1A0D">
        <w:rPr>
          <w:rFonts w:ascii="Century Gothic" w:hAnsi="Century Gothic"/>
          <w:color w:val="000000" w:themeColor="text1"/>
        </w:rPr>
        <w:t>Voltage transformers</w:t>
      </w:r>
      <w:r w:rsidR="001F1787">
        <w:rPr>
          <w:rFonts w:ascii="Century Gothic" w:hAnsi="Century Gothic"/>
          <w:color w:val="000000" w:themeColor="text1"/>
        </w:rPr>
        <w:t xml:space="preserve"> (VTs)</w:t>
      </w:r>
      <w:r w:rsidRPr="006B1A0D">
        <w:rPr>
          <w:rFonts w:ascii="Century Gothic" w:hAnsi="Century Gothic"/>
          <w:color w:val="000000" w:themeColor="text1"/>
        </w:rPr>
        <w:t xml:space="preserve"> will be specified in accordance with NRS 030. Metering and measurement circuits will use VTs of accuracy class 0.2. The VTs may not be overburdened </w:t>
      </w:r>
      <w:r w:rsidR="00CD0BDB" w:rsidRPr="006B1A0D">
        <w:rPr>
          <w:rFonts w:ascii="Century Gothic" w:hAnsi="Century Gothic"/>
          <w:color w:val="000000" w:themeColor="text1"/>
        </w:rPr>
        <w:t>to</w:t>
      </w:r>
      <w:r w:rsidRPr="006B1A0D">
        <w:rPr>
          <w:rFonts w:ascii="Century Gothic" w:hAnsi="Century Gothic"/>
          <w:color w:val="000000" w:themeColor="text1"/>
        </w:rPr>
        <w:t xml:space="preserve"> ensure accuracy within class definitions.</w:t>
      </w:r>
    </w:p>
    <w:p w14:paraId="6E88DC20" w14:textId="77777777" w:rsidR="00DC589A" w:rsidRPr="00BE54FC" w:rsidRDefault="00DC589A" w:rsidP="00871EE8">
      <w:pPr>
        <w:pStyle w:val="ListParagraph"/>
        <w:numPr>
          <w:ilvl w:val="0"/>
          <w:numId w:val="45"/>
        </w:numPr>
        <w:spacing w:beforeLines="60" w:before="144" w:afterLines="60" w:after="144" w:line="240" w:lineRule="auto"/>
        <w:contextualSpacing w:val="0"/>
        <w:rPr>
          <w:rFonts w:ascii="Century Gothic" w:eastAsia="Century Gothic" w:hAnsi="Century Gothic" w:cs="Century Gothic"/>
          <w:b/>
          <w:bCs/>
          <w:sz w:val="19"/>
          <w:szCs w:val="19"/>
        </w:rPr>
      </w:pPr>
      <w:r w:rsidRPr="006B1A0D">
        <w:rPr>
          <w:rFonts w:ascii="Century Gothic" w:eastAsia="Century Gothic" w:hAnsi="Century Gothic" w:cs="Century Gothic"/>
          <w:b/>
          <w:bCs/>
          <w:sz w:val="19"/>
          <w:szCs w:val="19"/>
        </w:rPr>
        <w:t xml:space="preserve">Meters - </w:t>
      </w:r>
      <w:r w:rsidRPr="00831A39">
        <w:rPr>
          <w:rFonts w:ascii="Century Gothic" w:eastAsia="Century Gothic" w:hAnsi="Century Gothic" w:cs="Century Gothic"/>
        </w:rPr>
        <w:t>The meter will also be an electronic, programmable energy meter capable of recording import and export active energy and reactive energy in Q1, Q2, Q3 and Q4. The recording period will be programmable for 5, 10, 15, 30- and 60-minute periods. The profile data will be stored in a non-volatile memory on the meter</w:t>
      </w:r>
      <w:r w:rsidRPr="006B1A0D">
        <w:rPr>
          <w:rFonts w:ascii="Century Gothic" w:eastAsia="Century Gothic" w:hAnsi="Century Gothic" w:cs="Century Gothic"/>
          <w:sz w:val="19"/>
          <w:szCs w:val="19"/>
        </w:rPr>
        <w:t>.</w:t>
      </w:r>
      <w:r w:rsidRPr="006B1A0D">
        <w:rPr>
          <w:rFonts w:ascii="Century Gothic" w:eastAsia="Century Gothic" w:hAnsi="Century Gothic" w:cs="Century Gothic"/>
          <w:b/>
          <w:bCs/>
          <w:sz w:val="19"/>
          <w:szCs w:val="19"/>
        </w:rPr>
        <w:t xml:space="preserve"> </w:t>
      </w:r>
      <w:r w:rsidRPr="006B1A0D">
        <w:rPr>
          <w:rFonts w:ascii="Century Gothic" w:hAnsi="Century Gothic"/>
          <w:color w:val="000000" w:themeColor="text1"/>
        </w:rPr>
        <w:t>The accuracy class requirements for a metering point that consists of a meter(s) and associated instrument transformers, are determined by the nominal size of the load, expressed in terms of KVA, and are as specified in SANS 474 table 1.</w:t>
      </w:r>
    </w:p>
    <w:p w14:paraId="0D3B4DCC" w14:textId="77777777" w:rsidR="00BE54FC" w:rsidRDefault="00BE54FC" w:rsidP="00BE54FC">
      <w:pPr>
        <w:pStyle w:val="ListParagraph"/>
        <w:spacing w:beforeLines="60" w:before="144" w:afterLines="60" w:after="144" w:line="240" w:lineRule="auto"/>
        <w:ind w:left="360"/>
        <w:contextualSpacing w:val="0"/>
        <w:rPr>
          <w:rFonts w:ascii="Century Gothic" w:eastAsia="Century Gothic" w:hAnsi="Century Gothic" w:cs="Century Gothic"/>
          <w:b/>
          <w:bCs/>
          <w:sz w:val="19"/>
          <w:szCs w:val="19"/>
        </w:rPr>
      </w:pPr>
    </w:p>
    <w:p w14:paraId="02EF6446" w14:textId="77777777" w:rsidR="00BE54FC" w:rsidRPr="006B1A0D" w:rsidRDefault="00BE54FC" w:rsidP="00BE54FC">
      <w:pPr>
        <w:pStyle w:val="ListParagraph"/>
        <w:spacing w:beforeLines="60" w:before="144" w:afterLines="60" w:after="144" w:line="240" w:lineRule="auto"/>
        <w:ind w:left="360"/>
        <w:contextualSpacing w:val="0"/>
        <w:rPr>
          <w:rFonts w:ascii="Century Gothic" w:eastAsia="Century Gothic" w:hAnsi="Century Gothic" w:cs="Century Gothic"/>
          <w:b/>
          <w:bCs/>
          <w:sz w:val="19"/>
          <w:szCs w:val="19"/>
        </w:rPr>
      </w:pPr>
    </w:p>
    <w:tbl>
      <w:tblPr>
        <w:tblW w:w="9343" w:type="dxa"/>
        <w:tblInd w:w="120" w:type="dxa"/>
        <w:tblLayout w:type="fixed"/>
        <w:tblLook w:val="04A0" w:firstRow="1" w:lastRow="0" w:firstColumn="1" w:lastColumn="0" w:noHBand="0" w:noVBand="1"/>
      </w:tblPr>
      <w:tblGrid>
        <w:gridCol w:w="2817"/>
        <w:gridCol w:w="1745"/>
        <w:gridCol w:w="1599"/>
        <w:gridCol w:w="1580"/>
        <w:gridCol w:w="1602"/>
      </w:tblGrid>
      <w:tr w:rsidR="00DC589A" w14:paraId="08E77EA0" w14:textId="77777777" w:rsidTr="005533AC">
        <w:trPr>
          <w:trHeight w:val="313"/>
        </w:trPr>
        <w:tc>
          <w:tcPr>
            <w:tcW w:w="2817" w:type="dxa"/>
            <w:vMerge w:val="restart"/>
            <w:tcBorders>
              <w:top w:val="single" w:sz="8" w:space="0" w:color="auto"/>
              <w:left w:val="single" w:sz="8" w:space="0" w:color="auto"/>
              <w:bottom w:val="single" w:sz="8" w:space="0" w:color="000000" w:themeColor="text1"/>
              <w:right w:val="single" w:sz="8" w:space="0" w:color="auto"/>
            </w:tcBorders>
            <w:shd w:val="clear" w:color="auto" w:fill="F2F2F2" w:themeFill="background1" w:themeFillShade="F2"/>
            <w:tcMar>
              <w:left w:w="108" w:type="dxa"/>
              <w:right w:w="108" w:type="dxa"/>
            </w:tcMar>
            <w:vAlign w:val="center"/>
          </w:tcPr>
          <w:p w14:paraId="0AFCA4E8" w14:textId="77777777" w:rsidR="00DC589A" w:rsidRPr="006B1A0D" w:rsidRDefault="00DC589A" w:rsidP="001620EA">
            <w:pPr>
              <w:spacing w:beforeLines="60" w:before="144" w:afterLines="60" w:after="144" w:line="240" w:lineRule="auto"/>
              <w:jc w:val="center"/>
              <w:rPr>
                <w:b/>
                <w:bCs/>
              </w:rPr>
            </w:pPr>
            <w:r w:rsidRPr="006B1A0D">
              <w:rPr>
                <w:rFonts w:ascii="Century Gothic" w:eastAsia="Century Gothic" w:hAnsi="Century Gothic" w:cs="Century Gothic"/>
                <w:b/>
                <w:bCs/>
                <w:color w:val="000000" w:themeColor="text1"/>
                <w:sz w:val="19"/>
                <w:szCs w:val="19"/>
              </w:rPr>
              <w:lastRenderedPageBreak/>
              <w:t>Load</w:t>
            </w:r>
          </w:p>
        </w:tc>
        <w:tc>
          <w:tcPr>
            <w:tcW w:w="6526" w:type="dxa"/>
            <w:gridSpan w:val="4"/>
            <w:tcBorders>
              <w:top w:val="single" w:sz="8" w:space="0" w:color="auto"/>
              <w:left w:val="single" w:sz="8" w:space="0" w:color="auto"/>
              <w:bottom w:val="single" w:sz="8" w:space="0" w:color="auto"/>
              <w:right w:val="single" w:sz="8" w:space="0" w:color="000000" w:themeColor="text1"/>
            </w:tcBorders>
            <w:shd w:val="clear" w:color="auto" w:fill="F2F2F2" w:themeFill="background1" w:themeFillShade="F2"/>
            <w:tcMar>
              <w:left w:w="108" w:type="dxa"/>
              <w:right w:w="108" w:type="dxa"/>
            </w:tcMar>
            <w:vAlign w:val="bottom"/>
          </w:tcPr>
          <w:p w14:paraId="194F0E62" w14:textId="72121BC9" w:rsidR="00DC589A" w:rsidRPr="006B1A0D" w:rsidRDefault="00DC589A" w:rsidP="001620EA">
            <w:pPr>
              <w:spacing w:beforeLines="60" w:before="144" w:afterLines="60" w:after="144" w:line="240" w:lineRule="auto"/>
              <w:jc w:val="center"/>
              <w:rPr>
                <w:b/>
                <w:bCs/>
              </w:rPr>
            </w:pPr>
            <w:r w:rsidRPr="006B1A0D">
              <w:rPr>
                <w:rFonts w:ascii="Century Gothic" w:eastAsia="Century Gothic" w:hAnsi="Century Gothic" w:cs="Century Gothic"/>
                <w:b/>
                <w:bCs/>
                <w:color w:val="000000" w:themeColor="text1"/>
                <w:sz w:val="19"/>
                <w:szCs w:val="19"/>
              </w:rPr>
              <w:t>Accuracy Class</w:t>
            </w:r>
          </w:p>
        </w:tc>
      </w:tr>
      <w:tr w:rsidR="00DC589A" w14:paraId="0831A6A2" w14:textId="77777777" w:rsidTr="004B154B">
        <w:trPr>
          <w:trHeight w:val="913"/>
        </w:trPr>
        <w:tc>
          <w:tcPr>
            <w:tcW w:w="2817" w:type="dxa"/>
            <w:vMerge/>
            <w:tcBorders>
              <w:left w:val="single" w:sz="0" w:space="0" w:color="auto"/>
              <w:bottom w:val="single" w:sz="0" w:space="0" w:color="000000" w:themeColor="text1"/>
              <w:right w:val="single" w:sz="0" w:space="0" w:color="auto"/>
            </w:tcBorders>
            <w:shd w:val="clear" w:color="auto" w:fill="F2F2F2" w:themeFill="background1" w:themeFillShade="F2"/>
            <w:vAlign w:val="center"/>
          </w:tcPr>
          <w:p w14:paraId="33F17C5E" w14:textId="77777777" w:rsidR="00DC589A" w:rsidRPr="006B1A0D" w:rsidRDefault="00DC589A" w:rsidP="001620EA">
            <w:pPr>
              <w:spacing w:beforeLines="60" w:before="144" w:afterLines="60" w:after="144" w:line="240" w:lineRule="auto"/>
              <w:rPr>
                <w:b/>
                <w:bCs/>
              </w:rPr>
            </w:pPr>
          </w:p>
        </w:tc>
        <w:tc>
          <w:tcPr>
            <w:tcW w:w="1745" w:type="dxa"/>
            <w:tcBorders>
              <w:top w:val="single" w:sz="8" w:space="0" w:color="auto"/>
              <w:left w:val="nil"/>
              <w:bottom w:val="single" w:sz="8" w:space="0" w:color="auto"/>
              <w:right w:val="single" w:sz="8" w:space="0" w:color="000000" w:themeColor="text1"/>
            </w:tcBorders>
            <w:shd w:val="clear" w:color="auto" w:fill="F2F2F2" w:themeFill="background1" w:themeFillShade="F2"/>
            <w:tcMar>
              <w:left w:w="108" w:type="dxa"/>
              <w:right w:w="108" w:type="dxa"/>
            </w:tcMar>
            <w:vAlign w:val="center"/>
          </w:tcPr>
          <w:p w14:paraId="523CFD7C" w14:textId="4AEA62B4" w:rsidR="00DC589A" w:rsidRPr="006B1A0D" w:rsidRDefault="00DC589A" w:rsidP="001620EA">
            <w:pPr>
              <w:spacing w:beforeLines="60" w:before="144" w:afterLines="60" w:after="144" w:line="240" w:lineRule="auto"/>
              <w:jc w:val="center"/>
              <w:rPr>
                <w:b/>
                <w:bCs/>
              </w:rPr>
            </w:pPr>
            <w:r w:rsidRPr="006B1A0D">
              <w:rPr>
                <w:rFonts w:ascii="Century Gothic" w:eastAsia="Century Gothic" w:hAnsi="Century Gothic" w:cs="Century Gothic"/>
                <w:b/>
                <w:bCs/>
                <w:color w:val="000000" w:themeColor="text1"/>
                <w:sz w:val="19"/>
                <w:szCs w:val="19"/>
              </w:rPr>
              <w:t>Active Energy Meter</w:t>
            </w:r>
          </w:p>
        </w:tc>
        <w:tc>
          <w:tcPr>
            <w:tcW w:w="1599" w:type="dxa"/>
            <w:tcBorders>
              <w:top w:val="nil"/>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08D56800" w14:textId="77777777" w:rsidR="00DC589A" w:rsidRPr="006B1A0D" w:rsidRDefault="00DC589A" w:rsidP="001620EA">
            <w:pPr>
              <w:spacing w:beforeLines="60" w:before="144" w:afterLines="60" w:after="144" w:line="240" w:lineRule="auto"/>
              <w:jc w:val="center"/>
              <w:rPr>
                <w:b/>
                <w:bCs/>
              </w:rPr>
            </w:pPr>
            <w:r w:rsidRPr="006B1A0D">
              <w:rPr>
                <w:rFonts w:ascii="Century Gothic" w:eastAsia="Century Gothic" w:hAnsi="Century Gothic" w:cs="Century Gothic"/>
                <w:b/>
                <w:bCs/>
                <w:color w:val="000000" w:themeColor="text1"/>
                <w:sz w:val="19"/>
                <w:szCs w:val="19"/>
              </w:rPr>
              <w:t>Reactive Energy Meter</w:t>
            </w:r>
          </w:p>
        </w:tc>
        <w:tc>
          <w:tcPr>
            <w:tcW w:w="1580" w:type="dxa"/>
            <w:tcBorders>
              <w:top w:val="nil"/>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7E037554" w14:textId="77777777" w:rsidR="00DC589A" w:rsidRPr="006B1A0D" w:rsidRDefault="00DC589A" w:rsidP="001620EA">
            <w:pPr>
              <w:spacing w:beforeLines="60" w:before="144" w:afterLines="60" w:after="144" w:line="240" w:lineRule="auto"/>
              <w:jc w:val="center"/>
              <w:rPr>
                <w:b/>
                <w:bCs/>
              </w:rPr>
            </w:pPr>
            <w:r w:rsidRPr="006B1A0D">
              <w:rPr>
                <w:rFonts w:ascii="Century Gothic" w:eastAsia="Century Gothic" w:hAnsi="Century Gothic" w:cs="Century Gothic"/>
                <w:b/>
                <w:bCs/>
                <w:color w:val="000000" w:themeColor="text1"/>
                <w:sz w:val="19"/>
                <w:szCs w:val="19"/>
              </w:rPr>
              <w:t>Current Transformer</w:t>
            </w:r>
          </w:p>
        </w:tc>
        <w:tc>
          <w:tcPr>
            <w:tcW w:w="1602" w:type="dxa"/>
            <w:tcBorders>
              <w:top w:val="nil"/>
              <w:left w:val="single" w:sz="8" w:space="0" w:color="auto"/>
              <w:bottom w:val="single" w:sz="8" w:space="0" w:color="auto"/>
              <w:right w:val="single" w:sz="8" w:space="0" w:color="000000" w:themeColor="text1"/>
            </w:tcBorders>
            <w:shd w:val="clear" w:color="auto" w:fill="F2F2F2" w:themeFill="background1" w:themeFillShade="F2"/>
            <w:tcMar>
              <w:left w:w="108" w:type="dxa"/>
              <w:right w:w="108" w:type="dxa"/>
            </w:tcMar>
            <w:vAlign w:val="center"/>
          </w:tcPr>
          <w:p w14:paraId="65B91398" w14:textId="77777777" w:rsidR="00DC589A" w:rsidRPr="006B1A0D" w:rsidRDefault="00DC589A" w:rsidP="001620EA">
            <w:pPr>
              <w:spacing w:beforeLines="60" w:before="144" w:afterLines="60" w:after="144" w:line="240" w:lineRule="auto"/>
              <w:jc w:val="center"/>
              <w:rPr>
                <w:b/>
                <w:bCs/>
              </w:rPr>
            </w:pPr>
            <w:r w:rsidRPr="006B1A0D">
              <w:rPr>
                <w:rFonts w:ascii="Century Gothic" w:eastAsia="Century Gothic" w:hAnsi="Century Gothic" w:cs="Century Gothic"/>
                <w:b/>
                <w:bCs/>
                <w:color w:val="000000" w:themeColor="text1"/>
                <w:sz w:val="19"/>
                <w:szCs w:val="19"/>
              </w:rPr>
              <w:t>Voltage Transformer</w:t>
            </w:r>
          </w:p>
        </w:tc>
      </w:tr>
      <w:tr w:rsidR="00DC589A" w14:paraId="075F10EF" w14:textId="77777777" w:rsidTr="004B154B">
        <w:trPr>
          <w:trHeight w:val="299"/>
        </w:trPr>
        <w:tc>
          <w:tcPr>
            <w:tcW w:w="2817" w:type="dxa"/>
            <w:tcBorders>
              <w:top w:val="nil"/>
              <w:left w:val="single" w:sz="8" w:space="0" w:color="auto"/>
              <w:bottom w:val="single" w:sz="8" w:space="0" w:color="auto"/>
              <w:right w:val="single" w:sz="8" w:space="0" w:color="auto"/>
            </w:tcBorders>
            <w:tcMar>
              <w:left w:w="108" w:type="dxa"/>
              <w:right w:w="108" w:type="dxa"/>
            </w:tcMar>
            <w:vAlign w:val="bottom"/>
          </w:tcPr>
          <w:p w14:paraId="73D2445A" w14:textId="77777777" w:rsidR="00DC589A" w:rsidRDefault="00DC589A" w:rsidP="001620EA">
            <w:pPr>
              <w:spacing w:beforeLines="60" w:before="144" w:afterLines="60" w:after="144" w:line="240" w:lineRule="auto"/>
            </w:pPr>
            <w:r w:rsidRPr="1AE41EAE">
              <w:rPr>
                <w:rFonts w:ascii="Century Gothic" w:eastAsia="Century Gothic" w:hAnsi="Century Gothic" w:cs="Century Gothic"/>
                <w:color w:val="000000" w:themeColor="text1"/>
                <w:sz w:val="19"/>
                <w:szCs w:val="19"/>
              </w:rPr>
              <w:t>&gt;100 MVA</w:t>
            </w:r>
          </w:p>
        </w:tc>
        <w:tc>
          <w:tcPr>
            <w:tcW w:w="174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495370A" w14:textId="364865CE" w:rsidR="00DC589A" w:rsidRDefault="00DC589A" w:rsidP="001620EA">
            <w:pPr>
              <w:spacing w:beforeLines="60" w:before="144" w:afterLines="60" w:after="144" w:line="240" w:lineRule="auto"/>
              <w:jc w:val="center"/>
            </w:pPr>
            <w:r w:rsidRPr="1AE41EAE">
              <w:rPr>
                <w:rFonts w:ascii="Century Gothic" w:eastAsia="Century Gothic" w:hAnsi="Century Gothic" w:cs="Century Gothic"/>
                <w:color w:val="000000" w:themeColor="text1"/>
                <w:sz w:val="19"/>
                <w:szCs w:val="19"/>
              </w:rPr>
              <w:t>0,2S</w:t>
            </w:r>
          </w:p>
        </w:tc>
        <w:tc>
          <w:tcPr>
            <w:tcW w:w="1599"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B6D6EB2" w14:textId="77777777" w:rsidR="00DC589A" w:rsidRDefault="00DC589A" w:rsidP="001620EA">
            <w:pPr>
              <w:spacing w:beforeLines="60" w:before="144" w:afterLines="60" w:after="144" w:line="240" w:lineRule="auto"/>
              <w:jc w:val="center"/>
            </w:pPr>
            <w:r w:rsidRPr="1AE41EAE">
              <w:rPr>
                <w:rFonts w:ascii="Century Gothic" w:eastAsia="Century Gothic" w:hAnsi="Century Gothic" w:cs="Century Gothic"/>
                <w:color w:val="000000" w:themeColor="text1"/>
                <w:sz w:val="19"/>
                <w:szCs w:val="19"/>
              </w:rPr>
              <w:t>1</w:t>
            </w:r>
          </w:p>
        </w:tc>
        <w:tc>
          <w:tcPr>
            <w:tcW w:w="158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03C8A5D" w14:textId="77777777" w:rsidR="00DC589A" w:rsidRDefault="00DC589A" w:rsidP="001620EA">
            <w:pPr>
              <w:spacing w:beforeLines="60" w:before="144" w:afterLines="60" w:after="144" w:line="240" w:lineRule="auto"/>
              <w:jc w:val="center"/>
            </w:pPr>
            <w:r w:rsidRPr="1AE41EAE">
              <w:rPr>
                <w:rFonts w:ascii="Century Gothic" w:eastAsia="Century Gothic" w:hAnsi="Century Gothic" w:cs="Century Gothic"/>
                <w:color w:val="000000" w:themeColor="text1"/>
                <w:sz w:val="19"/>
                <w:szCs w:val="19"/>
              </w:rPr>
              <w:t>0,2 *</w:t>
            </w:r>
          </w:p>
        </w:tc>
        <w:tc>
          <w:tcPr>
            <w:tcW w:w="1602"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D94FA9B" w14:textId="77777777" w:rsidR="00DC589A" w:rsidRDefault="00DC589A" w:rsidP="001620EA">
            <w:pPr>
              <w:spacing w:beforeLines="60" w:before="144" w:afterLines="60" w:after="144" w:line="240" w:lineRule="auto"/>
              <w:jc w:val="center"/>
            </w:pPr>
            <w:r w:rsidRPr="1AE41EAE">
              <w:rPr>
                <w:rFonts w:ascii="Century Gothic" w:eastAsia="Century Gothic" w:hAnsi="Century Gothic" w:cs="Century Gothic"/>
                <w:color w:val="000000" w:themeColor="text1"/>
                <w:sz w:val="19"/>
                <w:szCs w:val="19"/>
              </w:rPr>
              <w:t>0,2</w:t>
            </w:r>
          </w:p>
        </w:tc>
      </w:tr>
      <w:tr w:rsidR="00DC589A" w14:paraId="70E97FF6" w14:textId="77777777" w:rsidTr="004B154B">
        <w:trPr>
          <w:trHeight w:val="299"/>
        </w:trPr>
        <w:tc>
          <w:tcPr>
            <w:tcW w:w="2817" w:type="dxa"/>
            <w:tcBorders>
              <w:top w:val="single" w:sz="8" w:space="0" w:color="auto"/>
              <w:left w:val="single" w:sz="8" w:space="0" w:color="auto"/>
              <w:bottom w:val="single" w:sz="8" w:space="0" w:color="000000" w:themeColor="text1"/>
              <w:right w:val="single" w:sz="8" w:space="0" w:color="auto"/>
            </w:tcBorders>
            <w:tcMar>
              <w:left w:w="108" w:type="dxa"/>
              <w:right w:w="108" w:type="dxa"/>
            </w:tcMar>
            <w:vAlign w:val="bottom"/>
          </w:tcPr>
          <w:p w14:paraId="651967C8" w14:textId="77777777" w:rsidR="00DC589A" w:rsidRDefault="00DC589A" w:rsidP="001620EA">
            <w:pPr>
              <w:spacing w:beforeLines="60" w:before="144" w:afterLines="60" w:after="144" w:line="240" w:lineRule="auto"/>
            </w:pPr>
            <w:r w:rsidRPr="1AE41EAE">
              <w:rPr>
                <w:rFonts w:ascii="Century Gothic" w:eastAsia="Century Gothic" w:hAnsi="Century Gothic" w:cs="Century Gothic"/>
                <w:color w:val="000000" w:themeColor="text1"/>
                <w:sz w:val="19"/>
                <w:szCs w:val="19"/>
              </w:rPr>
              <w:t>10 MVA to &lt; 100 MVA</w:t>
            </w:r>
          </w:p>
        </w:tc>
        <w:tc>
          <w:tcPr>
            <w:tcW w:w="174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AAF3E06" w14:textId="1124527D" w:rsidR="00DC589A" w:rsidRDefault="00DC589A" w:rsidP="001620EA">
            <w:pPr>
              <w:spacing w:beforeLines="60" w:before="144" w:afterLines="60" w:after="144" w:line="240" w:lineRule="auto"/>
              <w:jc w:val="center"/>
            </w:pPr>
            <w:r w:rsidRPr="1AE41EAE">
              <w:rPr>
                <w:rFonts w:ascii="Century Gothic" w:eastAsia="Century Gothic" w:hAnsi="Century Gothic" w:cs="Century Gothic"/>
                <w:color w:val="000000" w:themeColor="text1"/>
                <w:sz w:val="19"/>
                <w:szCs w:val="19"/>
              </w:rPr>
              <w:t>0,5S</w:t>
            </w:r>
          </w:p>
        </w:tc>
        <w:tc>
          <w:tcPr>
            <w:tcW w:w="1599"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FEB21E7" w14:textId="77777777" w:rsidR="00DC589A" w:rsidRDefault="00DC589A" w:rsidP="001620EA">
            <w:pPr>
              <w:spacing w:beforeLines="60" w:before="144" w:afterLines="60" w:after="144" w:line="240" w:lineRule="auto"/>
              <w:jc w:val="center"/>
            </w:pPr>
            <w:r w:rsidRPr="1AE41EAE">
              <w:rPr>
                <w:rFonts w:ascii="Century Gothic" w:eastAsia="Century Gothic" w:hAnsi="Century Gothic" w:cs="Century Gothic"/>
                <w:color w:val="000000" w:themeColor="text1"/>
                <w:sz w:val="19"/>
                <w:szCs w:val="19"/>
              </w:rPr>
              <w:t>2</w:t>
            </w:r>
          </w:p>
        </w:tc>
        <w:tc>
          <w:tcPr>
            <w:tcW w:w="158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A807DD4" w14:textId="77777777" w:rsidR="00DC589A" w:rsidRDefault="00DC589A" w:rsidP="001620EA">
            <w:pPr>
              <w:spacing w:beforeLines="60" w:before="144" w:afterLines="60" w:after="144" w:line="240" w:lineRule="auto"/>
              <w:jc w:val="center"/>
            </w:pPr>
            <w:r w:rsidRPr="1AE41EAE">
              <w:rPr>
                <w:rFonts w:ascii="Century Gothic" w:eastAsia="Century Gothic" w:hAnsi="Century Gothic" w:cs="Century Gothic"/>
                <w:color w:val="000000" w:themeColor="text1"/>
                <w:sz w:val="19"/>
                <w:szCs w:val="19"/>
              </w:rPr>
              <w:t>0,2**</w:t>
            </w:r>
          </w:p>
        </w:tc>
        <w:tc>
          <w:tcPr>
            <w:tcW w:w="1602"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E67D87F" w14:textId="77777777" w:rsidR="00DC589A" w:rsidRDefault="00DC589A" w:rsidP="001620EA">
            <w:pPr>
              <w:spacing w:beforeLines="60" w:before="144" w:afterLines="60" w:after="144" w:line="240" w:lineRule="auto"/>
              <w:jc w:val="center"/>
            </w:pPr>
            <w:r w:rsidRPr="1AE41EAE">
              <w:rPr>
                <w:rFonts w:ascii="Century Gothic" w:eastAsia="Century Gothic" w:hAnsi="Century Gothic" w:cs="Century Gothic"/>
                <w:color w:val="000000" w:themeColor="text1"/>
                <w:sz w:val="19"/>
                <w:szCs w:val="19"/>
              </w:rPr>
              <w:t>0,2</w:t>
            </w:r>
          </w:p>
        </w:tc>
      </w:tr>
      <w:tr w:rsidR="00DC589A" w14:paraId="1C1FDD27" w14:textId="77777777" w:rsidTr="004B154B">
        <w:trPr>
          <w:trHeight w:val="299"/>
        </w:trPr>
        <w:tc>
          <w:tcPr>
            <w:tcW w:w="281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8DEFC13" w14:textId="77777777" w:rsidR="00DC589A" w:rsidRDefault="00DC589A" w:rsidP="001620EA">
            <w:pPr>
              <w:spacing w:beforeLines="60" w:before="144" w:afterLines="60" w:after="144" w:line="240" w:lineRule="auto"/>
            </w:pPr>
            <w:r w:rsidRPr="1AE41EAE">
              <w:rPr>
                <w:rFonts w:ascii="Century Gothic" w:eastAsia="Century Gothic" w:hAnsi="Century Gothic" w:cs="Century Gothic"/>
                <w:color w:val="000000" w:themeColor="text1"/>
                <w:sz w:val="19"/>
                <w:szCs w:val="19"/>
              </w:rPr>
              <w:t>1 MVA to &lt; 10 MVA</w:t>
            </w:r>
          </w:p>
        </w:tc>
        <w:tc>
          <w:tcPr>
            <w:tcW w:w="174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D793A8C" w14:textId="29D5DD8F" w:rsidR="00DC589A" w:rsidRDefault="00DC589A" w:rsidP="001620EA">
            <w:pPr>
              <w:spacing w:beforeLines="60" w:before="144" w:afterLines="60" w:after="144" w:line="240" w:lineRule="auto"/>
              <w:jc w:val="center"/>
            </w:pPr>
            <w:r w:rsidRPr="1AE41EAE">
              <w:rPr>
                <w:rFonts w:ascii="Century Gothic" w:eastAsia="Century Gothic" w:hAnsi="Century Gothic" w:cs="Century Gothic"/>
                <w:color w:val="000000" w:themeColor="text1"/>
                <w:sz w:val="19"/>
                <w:szCs w:val="19"/>
              </w:rPr>
              <w:t>1</w:t>
            </w:r>
          </w:p>
        </w:tc>
        <w:tc>
          <w:tcPr>
            <w:tcW w:w="1599"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EC7D7F1" w14:textId="77777777" w:rsidR="00DC589A" w:rsidRDefault="00DC589A" w:rsidP="001620EA">
            <w:pPr>
              <w:spacing w:beforeLines="60" w:before="144" w:afterLines="60" w:after="144" w:line="240" w:lineRule="auto"/>
              <w:jc w:val="center"/>
            </w:pPr>
            <w:r w:rsidRPr="1AE41EAE">
              <w:rPr>
                <w:rFonts w:ascii="Century Gothic" w:eastAsia="Century Gothic" w:hAnsi="Century Gothic" w:cs="Century Gothic"/>
                <w:color w:val="000000" w:themeColor="text1"/>
                <w:sz w:val="19"/>
                <w:szCs w:val="19"/>
              </w:rPr>
              <w:t>2</w:t>
            </w:r>
          </w:p>
        </w:tc>
        <w:tc>
          <w:tcPr>
            <w:tcW w:w="158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3B3EC2C" w14:textId="77777777" w:rsidR="00DC589A" w:rsidRDefault="00DC589A" w:rsidP="001620EA">
            <w:pPr>
              <w:spacing w:beforeLines="60" w:before="144" w:afterLines="60" w:after="144" w:line="240" w:lineRule="auto"/>
              <w:jc w:val="center"/>
            </w:pPr>
            <w:r w:rsidRPr="1AE41EAE">
              <w:rPr>
                <w:rFonts w:ascii="Century Gothic" w:eastAsia="Century Gothic" w:hAnsi="Century Gothic" w:cs="Century Gothic"/>
                <w:color w:val="000000" w:themeColor="text1"/>
                <w:sz w:val="19"/>
                <w:szCs w:val="19"/>
              </w:rPr>
              <w:t>0,5</w:t>
            </w:r>
          </w:p>
        </w:tc>
        <w:tc>
          <w:tcPr>
            <w:tcW w:w="1602"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87859F4" w14:textId="77777777" w:rsidR="00DC589A" w:rsidRDefault="00DC589A" w:rsidP="001620EA">
            <w:pPr>
              <w:spacing w:beforeLines="60" w:before="144" w:afterLines="60" w:after="144" w:line="240" w:lineRule="auto"/>
              <w:jc w:val="center"/>
            </w:pPr>
            <w:r w:rsidRPr="1AE41EAE">
              <w:rPr>
                <w:rFonts w:ascii="Century Gothic" w:eastAsia="Century Gothic" w:hAnsi="Century Gothic" w:cs="Century Gothic"/>
                <w:color w:val="000000" w:themeColor="text1"/>
                <w:sz w:val="19"/>
                <w:szCs w:val="19"/>
              </w:rPr>
              <w:t>0,5</w:t>
            </w:r>
          </w:p>
        </w:tc>
      </w:tr>
      <w:tr w:rsidR="00DC589A" w14:paraId="1980E86D" w14:textId="77777777" w:rsidTr="004B154B">
        <w:trPr>
          <w:trHeight w:val="299"/>
        </w:trPr>
        <w:tc>
          <w:tcPr>
            <w:tcW w:w="281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D73F025" w14:textId="77777777" w:rsidR="00DC589A" w:rsidRDefault="00DC589A" w:rsidP="001620EA">
            <w:pPr>
              <w:spacing w:beforeLines="60" w:before="144" w:afterLines="60" w:after="144" w:line="240" w:lineRule="auto"/>
            </w:pPr>
            <w:r w:rsidRPr="1AE41EAE">
              <w:rPr>
                <w:rFonts w:ascii="Century Gothic" w:eastAsia="Century Gothic" w:hAnsi="Century Gothic" w:cs="Century Gothic"/>
                <w:color w:val="000000" w:themeColor="text1"/>
                <w:sz w:val="19"/>
                <w:szCs w:val="19"/>
              </w:rPr>
              <w:t>100 KVA to &lt; 1 MVA</w:t>
            </w:r>
          </w:p>
        </w:tc>
        <w:tc>
          <w:tcPr>
            <w:tcW w:w="174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3D08027" w14:textId="7F54E633" w:rsidR="00DC589A" w:rsidRDefault="00DC589A" w:rsidP="001620EA">
            <w:pPr>
              <w:spacing w:beforeLines="60" w:before="144" w:afterLines="60" w:after="144" w:line="240" w:lineRule="auto"/>
              <w:jc w:val="center"/>
            </w:pPr>
            <w:r w:rsidRPr="1AE41EAE">
              <w:rPr>
                <w:rFonts w:ascii="Century Gothic" w:eastAsia="Century Gothic" w:hAnsi="Century Gothic" w:cs="Century Gothic"/>
                <w:color w:val="000000" w:themeColor="text1"/>
                <w:sz w:val="19"/>
                <w:szCs w:val="19"/>
              </w:rPr>
              <w:t>1</w:t>
            </w:r>
          </w:p>
        </w:tc>
        <w:tc>
          <w:tcPr>
            <w:tcW w:w="1599"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0D1214C" w14:textId="77777777" w:rsidR="00DC589A" w:rsidRDefault="00DC589A" w:rsidP="001620EA">
            <w:pPr>
              <w:spacing w:beforeLines="60" w:before="144" w:afterLines="60" w:after="144" w:line="240" w:lineRule="auto"/>
              <w:jc w:val="center"/>
            </w:pPr>
            <w:r w:rsidRPr="1AE41EAE">
              <w:rPr>
                <w:rFonts w:ascii="Century Gothic" w:eastAsia="Century Gothic" w:hAnsi="Century Gothic" w:cs="Century Gothic"/>
                <w:color w:val="000000" w:themeColor="text1"/>
                <w:sz w:val="19"/>
                <w:szCs w:val="19"/>
              </w:rPr>
              <w:t>3</w:t>
            </w:r>
          </w:p>
        </w:tc>
        <w:tc>
          <w:tcPr>
            <w:tcW w:w="158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1F7453D" w14:textId="77777777" w:rsidR="00DC589A" w:rsidRDefault="00DC589A" w:rsidP="001620EA">
            <w:pPr>
              <w:spacing w:beforeLines="60" w:before="144" w:afterLines="60" w:after="144" w:line="240" w:lineRule="auto"/>
              <w:jc w:val="center"/>
            </w:pPr>
            <w:r w:rsidRPr="1AE41EAE">
              <w:rPr>
                <w:rFonts w:ascii="Century Gothic" w:eastAsia="Century Gothic" w:hAnsi="Century Gothic" w:cs="Century Gothic"/>
                <w:color w:val="000000" w:themeColor="text1"/>
                <w:sz w:val="19"/>
                <w:szCs w:val="19"/>
              </w:rPr>
              <w:t>0,5</w:t>
            </w:r>
          </w:p>
        </w:tc>
        <w:tc>
          <w:tcPr>
            <w:tcW w:w="1602"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6280CD4" w14:textId="77777777" w:rsidR="00DC589A" w:rsidRDefault="00DC589A" w:rsidP="001620EA">
            <w:pPr>
              <w:spacing w:beforeLines="60" w:before="144" w:afterLines="60" w:after="144" w:line="240" w:lineRule="auto"/>
              <w:jc w:val="center"/>
            </w:pPr>
            <w:r w:rsidRPr="1AE41EAE">
              <w:rPr>
                <w:rFonts w:ascii="Century Gothic" w:eastAsia="Century Gothic" w:hAnsi="Century Gothic" w:cs="Century Gothic"/>
                <w:color w:val="000000" w:themeColor="text1"/>
                <w:sz w:val="19"/>
                <w:szCs w:val="19"/>
              </w:rPr>
              <w:t>0,5</w:t>
            </w:r>
          </w:p>
        </w:tc>
      </w:tr>
      <w:tr w:rsidR="00DC589A" w14:paraId="26509FA9" w14:textId="77777777" w:rsidTr="004B154B">
        <w:trPr>
          <w:trHeight w:val="313"/>
        </w:trPr>
        <w:tc>
          <w:tcPr>
            <w:tcW w:w="2817" w:type="dxa"/>
            <w:tcBorders>
              <w:top w:val="single" w:sz="8" w:space="0" w:color="auto"/>
              <w:left w:val="single" w:sz="8" w:space="0" w:color="auto"/>
              <w:bottom w:val="nil"/>
              <w:right w:val="single" w:sz="8" w:space="0" w:color="auto"/>
            </w:tcBorders>
            <w:tcMar>
              <w:left w:w="108" w:type="dxa"/>
              <w:right w:w="108" w:type="dxa"/>
            </w:tcMar>
            <w:vAlign w:val="bottom"/>
          </w:tcPr>
          <w:p w14:paraId="0161550C" w14:textId="77777777" w:rsidR="00DC589A" w:rsidRDefault="00DC589A" w:rsidP="001620EA">
            <w:pPr>
              <w:spacing w:beforeLines="60" w:before="144" w:afterLines="60" w:after="144" w:line="240" w:lineRule="auto"/>
            </w:pPr>
            <w:r w:rsidRPr="1AE41EAE">
              <w:rPr>
                <w:rFonts w:ascii="Century Gothic" w:eastAsia="Century Gothic" w:hAnsi="Century Gothic" w:cs="Century Gothic"/>
                <w:color w:val="000000" w:themeColor="text1"/>
                <w:sz w:val="19"/>
                <w:szCs w:val="19"/>
              </w:rPr>
              <w:t>&lt; 100 KVA</w:t>
            </w:r>
          </w:p>
        </w:tc>
        <w:tc>
          <w:tcPr>
            <w:tcW w:w="1745" w:type="dxa"/>
            <w:tcBorders>
              <w:top w:val="single" w:sz="8" w:space="0" w:color="auto"/>
              <w:left w:val="single" w:sz="8" w:space="0" w:color="auto"/>
              <w:bottom w:val="nil"/>
              <w:right w:val="single" w:sz="8" w:space="0" w:color="auto"/>
            </w:tcBorders>
            <w:tcMar>
              <w:left w:w="108" w:type="dxa"/>
              <w:right w:w="108" w:type="dxa"/>
            </w:tcMar>
            <w:vAlign w:val="bottom"/>
          </w:tcPr>
          <w:p w14:paraId="0E0870B9" w14:textId="625C2D48" w:rsidR="00DC589A" w:rsidRDefault="00DC589A" w:rsidP="001620EA">
            <w:pPr>
              <w:spacing w:beforeLines="60" w:before="144" w:afterLines="60" w:after="144" w:line="240" w:lineRule="auto"/>
              <w:jc w:val="center"/>
            </w:pPr>
            <w:r w:rsidRPr="1AE41EAE">
              <w:rPr>
                <w:rFonts w:ascii="Century Gothic" w:eastAsia="Century Gothic" w:hAnsi="Century Gothic" w:cs="Century Gothic"/>
                <w:color w:val="000000" w:themeColor="text1"/>
                <w:sz w:val="19"/>
                <w:szCs w:val="19"/>
              </w:rPr>
              <w:t>2</w:t>
            </w:r>
          </w:p>
        </w:tc>
        <w:tc>
          <w:tcPr>
            <w:tcW w:w="1599" w:type="dxa"/>
            <w:tcBorders>
              <w:top w:val="single" w:sz="8" w:space="0" w:color="auto"/>
              <w:left w:val="single" w:sz="8" w:space="0" w:color="auto"/>
              <w:bottom w:val="nil"/>
              <w:right w:val="single" w:sz="8" w:space="0" w:color="auto"/>
            </w:tcBorders>
            <w:tcMar>
              <w:left w:w="108" w:type="dxa"/>
              <w:right w:w="108" w:type="dxa"/>
            </w:tcMar>
            <w:vAlign w:val="bottom"/>
          </w:tcPr>
          <w:p w14:paraId="74D927FF" w14:textId="77777777" w:rsidR="00DC589A" w:rsidRDefault="00DC589A" w:rsidP="001620EA">
            <w:pPr>
              <w:spacing w:beforeLines="60" w:before="144" w:afterLines="60" w:after="144" w:line="240" w:lineRule="auto"/>
              <w:jc w:val="center"/>
            </w:pPr>
            <w:r w:rsidRPr="1AE41EAE">
              <w:rPr>
                <w:rFonts w:ascii="Century Gothic" w:eastAsia="Century Gothic" w:hAnsi="Century Gothic" w:cs="Century Gothic"/>
                <w:color w:val="000000" w:themeColor="text1"/>
                <w:sz w:val="19"/>
                <w:szCs w:val="19"/>
              </w:rPr>
              <w:t>3</w:t>
            </w:r>
          </w:p>
        </w:tc>
        <w:tc>
          <w:tcPr>
            <w:tcW w:w="1580" w:type="dxa"/>
            <w:tcBorders>
              <w:top w:val="single" w:sz="8" w:space="0" w:color="auto"/>
              <w:left w:val="single" w:sz="8" w:space="0" w:color="auto"/>
              <w:bottom w:val="nil"/>
              <w:right w:val="single" w:sz="8" w:space="0" w:color="auto"/>
            </w:tcBorders>
            <w:tcMar>
              <w:left w:w="108" w:type="dxa"/>
              <w:right w:w="108" w:type="dxa"/>
            </w:tcMar>
            <w:vAlign w:val="bottom"/>
          </w:tcPr>
          <w:p w14:paraId="49E04F38" w14:textId="77777777" w:rsidR="00DC589A" w:rsidRDefault="00DC589A" w:rsidP="001620EA">
            <w:pPr>
              <w:spacing w:beforeLines="60" w:before="144" w:afterLines="60" w:after="144" w:line="240" w:lineRule="auto"/>
              <w:jc w:val="center"/>
            </w:pPr>
            <w:r w:rsidRPr="1AE41EAE">
              <w:rPr>
                <w:rFonts w:ascii="Century Gothic" w:eastAsia="Century Gothic" w:hAnsi="Century Gothic" w:cs="Century Gothic"/>
                <w:color w:val="000000" w:themeColor="text1"/>
                <w:sz w:val="19"/>
                <w:szCs w:val="19"/>
              </w:rPr>
              <w:t>1</w:t>
            </w:r>
          </w:p>
        </w:tc>
        <w:tc>
          <w:tcPr>
            <w:tcW w:w="1602" w:type="dxa"/>
            <w:tcBorders>
              <w:top w:val="single" w:sz="8" w:space="0" w:color="auto"/>
              <w:left w:val="single" w:sz="8" w:space="0" w:color="auto"/>
              <w:bottom w:val="nil"/>
              <w:right w:val="single" w:sz="8" w:space="0" w:color="auto"/>
            </w:tcBorders>
            <w:tcMar>
              <w:left w:w="108" w:type="dxa"/>
              <w:right w:w="108" w:type="dxa"/>
            </w:tcMar>
            <w:vAlign w:val="bottom"/>
          </w:tcPr>
          <w:p w14:paraId="3D4BF707" w14:textId="77777777" w:rsidR="00DC589A" w:rsidRDefault="00DC589A" w:rsidP="001620EA">
            <w:pPr>
              <w:spacing w:beforeLines="60" w:before="144" w:afterLines="60" w:after="144" w:line="240" w:lineRule="auto"/>
              <w:jc w:val="center"/>
            </w:pPr>
            <w:r w:rsidRPr="1AE41EAE">
              <w:rPr>
                <w:rFonts w:ascii="Century Gothic" w:eastAsia="Century Gothic" w:hAnsi="Century Gothic" w:cs="Century Gothic"/>
                <w:color w:val="000000" w:themeColor="text1"/>
                <w:sz w:val="19"/>
                <w:szCs w:val="19"/>
              </w:rPr>
              <w:t>-</w:t>
            </w:r>
          </w:p>
        </w:tc>
      </w:tr>
      <w:tr w:rsidR="00DC589A" w14:paraId="5C131955" w14:textId="77777777" w:rsidTr="005533AC">
        <w:trPr>
          <w:trHeight w:val="299"/>
        </w:trPr>
        <w:tc>
          <w:tcPr>
            <w:tcW w:w="9343" w:type="dxa"/>
            <w:gridSpan w:val="5"/>
            <w:tcBorders>
              <w:top w:val="single" w:sz="8" w:space="0" w:color="auto"/>
              <w:left w:val="single" w:sz="8" w:space="0" w:color="auto"/>
              <w:bottom w:val="single" w:sz="8" w:space="0" w:color="auto"/>
              <w:right w:val="single" w:sz="8" w:space="0" w:color="000000" w:themeColor="text1"/>
            </w:tcBorders>
            <w:tcMar>
              <w:left w:w="108" w:type="dxa"/>
              <w:right w:w="108" w:type="dxa"/>
            </w:tcMar>
            <w:vAlign w:val="bottom"/>
          </w:tcPr>
          <w:p w14:paraId="7E09E13F" w14:textId="7C56C75E" w:rsidR="00DC589A" w:rsidRDefault="00DC589A" w:rsidP="001620EA">
            <w:pPr>
              <w:spacing w:beforeLines="60" w:before="144" w:afterLines="60" w:after="144" w:line="240" w:lineRule="auto"/>
            </w:pPr>
            <w:r w:rsidRPr="1AE41EAE">
              <w:rPr>
                <w:rFonts w:ascii="Century Gothic" w:eastAsia="Century Gothic" w:hAnsi="Century Gothic" w:cs="Century Gothic"/>
                <w:color w:val="000000" w:themeColor="text1"/>
                <w:sz w:val="19"/>
                <w:szCs w:val="19"/>
              </w:rPr>
              <w:t>* No type test standard available yet</w:t>
            </w:r>
          </w:p>
        </w:tc>
      </w:tr>
      <w:tr w:rsidR="00DC589A" w14:paraId="4DE8E3F6" w14:textId="77777777" w:rsidTr="005533AC">
        <w:trPr>
          <w:trHeight w:val="313"/>
        </w:trPr>
        <w:tc>
          <w:tcPr>
            <w:tcW w:w="9343" w:type="dxa"/>
            <w:gridSpan w:val="5"/>
            <w:tcBorders>
              <w:top w:val="single" w:sz="8" w:space="0" w:color="auto"/>
              <w:left w:val="single" w:sz="8" w:space="0" w:color="auto"/>
              <w:bottom w:val="single" w:sz="8" w:space="0" w:color="auto"/>
              <w:right w:val="single" w:sz="8" w:space="0" w:color="000000" w:themeColor="text1"/>
            </w:tcBorders>
            <w:tcMar>
              <w:left w:w="108" w:type="dxa"/>
              <w:right w:w="108" w:type="dxa"/>
            </w:tcMar>
            <w:vAlign w:val="bottom"/>
          </w:tcPr>
          <w:p w14:paraId="63BFBE00" w14:textId="3156884E" w:rsidR="00DC589A" w:rsidRDefault="00DC589A" w:rsidP="001620EA">
            <w:pPr>
              <w:spacing w:beforeLines="60" w:before="144" w:afterLines="60" w:after="144" w:line="240" w:lineRule="auto"/>
            </w:pPr>
            <w:r w:rsidRPr="1AE41EAE">
              <w:rPr>
                <w:rFonts w:ascii="Century Gothic" w:eastAsia="Century Gothic" w:hAnsi="Century Gothic" w:cs="Century Gothic"/>
                <w:color w:val="000000" w:themeColor="text1"/>
                <w:sz w:val="19"/>
                <w:szCs w:val="19"/>
              </w:rPr>
              <w:t>** Class 0,5 is acceptable at the lowest ratio of a multi-ratio current transformer</w:t>
            </w:r>
          </w:p>
        </w:tc>
      </w:tr>
    </w:tbl>
    <w:p w14:paraId="251BF59A" w14:textId="290C1331" w:rsidR="000F7B20" w:rsidRPr="00831A39" w:rsidRDefault="00DC589A" w:rsidP="00871EE8">
      <w:pPr>
        <w:pStyle w:val="ListParagraph"/>
        <w:numPr>
          <w:ilvl w:val="0"/>
          <w:numId w:val="44"/>
        </w:numPr>
        <w:tabs>
          <w:tab w:val="left" w:pos="7740"/>
        </w:tabs>
        <w:spacing w:beforeLines="60" w:before="144" w:afterLines="60" w:after="144" w:line="240" w:lineRule="auto"/>
        <w:contextualSpacing w:val="0"/>
        <w:rPr>
          <w:rFonts w:ascii="Century Gothic" w:eastAsia="Century Gothic" w:hAnsi="Century Gothic" w:cs="Century Gothic"/>
          <w:b/>
          <w:bCs/>
          <w:sz w:val="19"/>
          <w:szCs w:val="19"/>
        </w:rPr>
      </w:pPr>
      <w:r w:rsidRPr="006B1A0D">
        <w:rPr>
          <w:rFonts w:ascii="Century Gothic" w:eastAsia="Century Gothic" w:hAnsi="Century Gothic" w:cs="Century Gothic"/>
          <w:b/>
          <w:bCs/>
          <w:sz w:val="19"/>
          <w:szCs w:val="19"/>
        </w:rPr>
        <w:t>Quadrant Metering:</w:t>
      </w:r>
      <w:r>
        <w:rPr>
          <w:rFonts w:ascii="Century Gothic" w:eastAsia="Century Gothic" w:hAnsi="Century Gothic" w:cs="Century Gothic"/>
          <w:b/>
          <w:bCs/>
          <w:sz w:val="19"/>
          <w:szCs w:val="19"/>
        </w:rPr>
        <w:t xml:space="preserve"> </w:t>
      </w:r>
      <w:r w:rsidRPr="006B1A0D">
        <w:rPr>
          <w:rFonts w:ascii="Century Gothic" w:eastAsia="Century Gothic" w:hAnsi="Century Gothic" w:cs="Century Gothic"/>
          <w:sz w:val="19"/>
          <w:szCs w:val="19"/>
        </w:rPr>
        <w:t>Quadrant metering involves the classification of active energy</w:t>
      </w:r>
      <w:r w:rsidR="00B9299D">
        <w:rPr>
          <w:rFonts w:ascii="Century Gothic" w:eastAsia="Century Gothic" w:hAnsi="Century Gothic" w:cs="Century Gothic"/>
          <w:sz w:val="19"/>
          <w:szCs w:val="19"/>
        </w:rPr>
        <w:t xml:space="preserve"> (useful </w:t>
      </w:r>
      <w:r w:rsidR="00C7462A">
        <w:rPr>
          <w:rFonts w:ascii="Century Gothic" w:eastAsia="Century Gothic" w:hAnsi="Century Gothic" w:cs="Century Gothic"/>
          <w:sz w:val="19"/>
          <w:szCs w:val="19"/>
        </w:rPr>
        <w:t>power</w:t>
      </w:r>
      <w:r w:rsidR="00D03E91">
        <w:rPr>
          <w:rFonts w:ascii="Century Gothic" w:eastAsia="Century Gothic" w:hAnsi="Century Gothic" w:cs="Century Gothic"/>
          <w:sz w:val="19"/>
          <w:szCs w:val="19"/>
        </w:rPr>
        <w:t>, measured in kW (kilo-watt hours)</w:t>
      </w:r>
      <w:r w:rsidR="00B9299D">
        <w:rPr>
          <w:rFonts w:ascii="Century Gothic" w:eastAsia="Century Gothic" w:hAnsi="Century Gothic" w:cs="Century Gothic"/>
          <w:sz w:val="19"/>
          <w:szCs w:val="19"/>
        </w:rPr>
        <w:t>)</w:t>
      </w:r>
      <w:r w:rsidRPr="006B1A0D">
        <w:rPr>
          <w:rFonts w:ascii="Century Gothic" w:eastAsia="Century Gothic" w:hAnsi="Century Gothic" w:cs="Century Gothic"/>
          <w:sz w:val="19"/>
          <w:szCs w:val="19"/>
        </w:rPr>
        <w:t xml:space="preserve"> and reactive energy</w:t>
      </w:r>
      <w:r w:rsidR="00B9299D">
        <w:rPr>
          <w:rFonts w:ascii="Century Gothic" w:eastAsia="Century Gothic" w:hAnsi="Century Gothic" w:cs="Century Gothic"/>
          <w:sz w:val="19"/>
          <w:szCs w:val="19"/>
        </w:rPr>
        <w:t xml:space="preserve"> (useless </w:t>
      </w:r>
      <w:r w:rsidR="00C7462A">
        <w:rPr>
          <w:rFonts w:ascii="Century Gothic" w:eastAsia="Century Gothic" w:hAnsi="Century Gothic" w:cs="Century Gothic"/>
          <w:sz w:val="19"/>
          <w:szCs w:val="19"/>
        </w:rPr>
        <w:t>power</w:t>
      </w:r>
      <w:r w:rsidR="00A95D50">
        <w:rPr>
          <w:rFonts w:ascii="Century Gothic" w:eastAsia="Century Gothic" w:hAnsi="Century Gothic" w:cs="Century Gothic"/>
          <w:sz w:val="19"/>
          <w:szCs w:val="19"/>
        </w:rPr>
        <w:t xml:space="preserve">, measured in </w:t>
      </w:r>
      <w:proofErr w:type="spellStart"/>
      <w:r w:rsidR="00A95D50">
        <w:rPr>
          <w:rFonts w:ascii="Century Gothic" w:eastAsia="Century Gothic" w:hAnsi="Century Gothic" w:cs="Century Gothic"/>
          <w:sz w:val="19"/>
          <w:szCs w:val="19"/>
        </w:rPr>
        <w:t>kVA</w:t>
      </w:r>
      <w:r w:rsidR="000D07AB">
        <w:rPr>
          <w:rFonts w:ascii="Century Gothic" w:eastAsia="Century Gothic" w:hAnsi="Century Gothic" w:cs="Century Gothic"/>
          <w:sz w:val="19"/>
          <w:szCs w:val="19"/>
        </w:rPr>
        <w:t>r</w:t>
      </w:r>
      <w:proofErr w:type="spellEnd"/>
      <w:r w:rsidR="000D07AB">
        <w:rPr>
          <w:rFonts w:ascii="Century Gothic" w:eastAsia="Century Gothic" w:hAnsi="Century Gothic" w:cs="Century Gothic"/>
          <w:sz w:val="19"/>
          <w:szCs w:val="19"/>
        </w:rPr>
        <w:t xml:space="preserve"> (</w:t>
      </w:r>
      <w:r w:rsidR="00D03E91">
        <w:rPr>
          <w:rFonts w:ascii="Century Gothic" w:eastAsia="Century Gothic" w:hAnsi="Century Gothic" w:cs="Century Gothic"/>
          <w:sz w:val="19"/>
          <w:szCs w:val="19"/>
        </w:rPr>
        <w:t>k</w:t>
      </w:r>
      <w:r w:rsidR="000D07AB" w:rsidRPr="000D07AB">
        <w:rPr>
          <w:rFonts w:ascii="Century Gothic" w:eastAsia="Century Gothic" w:hAnsi="Century Gothic" w:cs="Century Gothic"/>
          <w:sz w:val="19"/>
          <w:szCs w:val="19"/>
        </w:rPr>
        <w:t>ilovolt-amperes reactive</w:t>
      </w:r>
      <w:r w:rsidR="000D07AB">
        <w:rPr>
          <w:rFonts w:ascii="Century Gothic" w:eastAsia="Century Gothic" w:hAnsi="Century Gothic" w:cs="Century Gothic"/>
          <w:sz w:val="19"/>
          <w:szCs w:val="19"/>
        </w:rPr>
        <w:t>)</w:t>
      </w:r>
      <w:r w:rsidR="00B9299D">
        <w:rPr>
          <w:rFonts w:ascii="Century Gothic" w:eastAsia="Century Gothic" w:hAnsi="Century Gothic" w:cs="Century Gothic"/>
          <w:sz w:val="19"/>
          <w:szCs w:val="19"/>
        </w:rPr>
        <w:t>)</w:t>
      </w:r>
      <w:r w:rsidRPr="006B1A0D">
        <w:rPr>
          <w:rFonts w:ascii="Century Gothic" w:eastAsia="Century Gothic" w:hAnsi="Century Gothic" w:cs="Century Gothic"/>
          <w:sz w:val="19"/>
          <w:szCs w:val="19"/>
        </w:rPr>
        <w:t xml:space="preserve"> consumption based on the power factor</w:t>
      </w:r>
      <w:r w:rsidR="00763584">
        <w:rPr>
          <w:rFonts w:ascii="Century Gothic" w:eastAsia="Century Gothic" w:hAnsi="Century Gothic" w:cs="Century Gothic"/>
          <w:sz w:val="19"/>
          <w:szCs w:val="19"/>
        </w:rPr>
        <w:t xml:space="preserve"> (</w:t>
      </w:r>
      <w:r w:rsidR="009D4238">
        <w:rPr>
          <w:rFonts w:ascii="Century Gothic" w:eastAsia="Century Gothic" w:hAnsi="Century Gothic" w:cs="Century Gothic"/>
          <w:sz w:val="19"/>
          <w:szCs w:val="19"/>
        </w:rPr>
        <w:t>the ratio between the useful and usel</w:t>
      </w:r>
      <w:r w:rsidR="00C7462A">
        <w:rPr>
          <w:rFonts w:ascii="Century Gothic" w:eastAsia="Century Gothic" w:hAnsi="Century Gothic" w:cs="Century Gothic"/>
          <w:sz w:val="19"/>
          <w:szCs w:val="19"/>
        </w:rPr>
        <w:t>e</w:t>
      </w:r>
      <w:r w:rsidR="009D4238">
        <w:rPr>
          <w:rFonts w:ascii="Century Gothic" w:eastAsia="Century Gothic" w:hAnsi="Century Gothic" w:cs="Century Gothic"/>
          <w:sz w:val="19"/>
          <w:szCs w:val="19"/>
        </w:rPr>
        <w:t>ss power)</w:t>
      </w:r>
      <w:r w:rsidRPr="006B1A0D">
        <w:rPr>
          <w:rFonts w:ascii="Century Gothic" w:eastAsia="Century Gothic" w:hAnsi="Century Gothic" w:cs="Century Gothic"/>
          <w:sz w:val="19"/>
          <w:szCs w:val="19"/>
        </w:rPr>
        <w:t xml:space="preserve"> and direction of energy flow. </w:t>
      </w:r>
      <w:r w:rsidR="00EF516D">
        <w:rPr>
          <w:rFonts w:ascii="Century Gothic" w:eastAsia="Century Gothic" w:hAnsi="Century Gothic" w:cs="Century Gothic"/>
          <w:sz w:val="19"/>
          <w:szCs w:val="19"/>
        </w:rPr>
        <w:t>A</w:t>
      </w:r>
      <w:r w:rsidR="00EF516D" w:rsidRPr="00EF516D">
        <w:rPr>
          <w:rFonts w:ascii="Century Gothic" w:eastAsia="Century Gothic" w:hAnsi="Century Gothic" w:cs="Century Gothic"/>
          <w:sz w:val="19"/>
          <w:szCs w:val="19"/>
        </w:rPr>
        <w:t xml:space="preserve"> capacitor opposes a change in voltage while an inductor opposes a change in the current</w:t>
      </w:r>
      <w:r w:rsidR="00B921D2">
        <w:rPr>
          <w:rFonts w:ascii="Century Gothic" w:eastAsia="Century Gothic" w:hAnsi="Century Gothic" w:cs="Century Gothic"/>
          <w:sz w:val="19"/>
          <w:szCs w:val="19"/>
        </w:rPr>
        <w:t xml:space="preserve">. </w:t>
      </w:r>
      <w:r w:rsidR="00B921D2" w:rsidRPr="00B921D2">
        <w:rPr>
          <w:rFonts w:ascii="Century Gothic" w:eastAsia="Century Gothic" w:hAnsi="Century Gothic" w:cs="Century Gothic"/>
          <w:sz w:val="19"/>
          <w:szCs w:val="19"/>
        </w:rPr>
        <w:t>A lagging power factor signifies that the load is inductive</w:t>
      </w:r>
      <w:r w:rsidR="006775C6">
        <w:rPr>
          <w:rFonts w:ascii="Century Gothic" w:eastAsia="Century Gothic" w:hAnsi="Century Gothic" w:cs="Century Gothic"/>
          <w:sz w:val="19"/>
          <w:szCs w:val="19"/>
        </w:rPr>
        <w:t xml:space="preserve">. </w:t>
      </w:r>
      <w:r w:rsidR="006775C6" w:rsidRPr="006775C6">
        <w:rPr>
          <w:rFonts w:ascii="Century Gothic" w:eastAsia="Century Gothic" w:hAnsi="Century Gothic" w:cs="Century Gothic"/>
          <w:sz w:val="19"/>
          <w:szCs w:val="19"/>
        </w:rPr>
        <w:t>A leading power factor signifies that the load is capacitive</w:t>
      </w:r>
      <w:r w:rsidR="006775C6">
        <w:rPr>
          <w:rFonts w:ascii="Century Gothic" w:eastAsia="Century Gothic" w:hAnsi="Century Gothic" w:cs="Century Gothic"/>
          <w:sz w:val="19"/>
          <w:szCs w:val="19"/>
        </w:rPr>
        <w:t>.</w:t>
      </w:r>
    </w:p>
    <w:p w14:paraId="5477C7AB" w14:textId="0BE68228" w:rsidR="00DC589A" w:rsidRPr="006B1A0D" w:rsidRDefault="00DC589A" w:rsidP="00871EE8">
      <w:pPr>
        <w:pStyle w:val="ListParagraph"/>
        <w:numPr>
          <w:ilvl w:val="0"/>
          <w:numId w:val="44"/>
        </w:numPr>
        <w:tabs>
          <w:tab w:val="left" w:pos="7740"/>
        </w:tabs>
        <w:spacing w:beforeLines="60" w:before="144" w:afterLines="60" w:after="144" w:line="240" w:lineRule="auto"/>
        <w:contextualSpacing w:val="0"/>
        <w:rPr>
          <w:rFonts w:ascii="Century Gothic" w:eastAsia="Century Gothic" w:hAnsi="Century Gothic" w:cs="Century Gothic"/>
          <w:b/>
          <w:bCs/>
          <w:sz w:val="19"/>
          <w:szCs w:val="19"/>
        </w:rPr>
      </w:pPr>
      <w:r w:rsidRPr="006B1A0D">
        <w:rPr>
          <w:rFonts w:ascii="Century Gothic" w:eastAsia="Century Gothic" w:hAnsi="Century Gothic" w:cs="Century Gothic"/>
          <w:sz w:val="19"/>
          <w:szCs w:val="19"/>
        </w:rPr>
        <w:t>The four quadrants are defined as follows:</w:t>
      </w:r>
    </w:p>
    <w:p w14:paraId="1233CDF4" w14:textId="77777777" w:rsidR="00DC589A" w:rsidRDefault="00DC589A" w:rsidP="00871EE8">
      <w:pPr>
        <w:pStyle w:val="ListParagraph"/>
        <w:numPr>
          <w:ilvl w:val="1"/>
          <w:numId w:val="44"/>
        </w:numPr>
        <w:spacing w:beforeLines="60" w:before="144" w:afterLines="60" w:after="144" w:line="240" w:lineRule="auto"/>
        <w:contextualSpacing w:val="0"/>
        <w:rPr>
          <w:rFonts w:ascii="Century Gothic" w:eastAsia="Century Gothic" w:hAnsi="Century Gothic" w:cs="Century Gothic"/>
          <w:sz w:val="19"/>
          <w:szCs w:val="19"/>
        </w:rPr>
      </w:pPr>
      <w:r w:rsidRPr="1AE41EAE">
        <w:rPr>
          <w:rFonts w:ascii="Century Gothic" w:eastAsia="Century Gothic" w:hAnsi="Century Gothic" w:cs="Century Gothic"/>
          <w:sz w:val="19"/>
          <w:szCs w:val="19"/>
        </w:rPr>
        <w:t>Quadrant 1: Active energy is import (+), reactive energy is inductive, and the power factor is lagging.</w:t>
      </w:r>
    </w:p>
    <w:p w14:paraId="6870D385" w14:textId="77777777" w:rsidR="00DC589A" w:rsidRDefault="00DC589A" w:rsidP="00871EE8">
      <w:pPr>
        <w:pStyle w:val="ListParagraph"/>
        <w:numPr>
          <w:ilvl w:val="1"/>
          <w:numId w:val="44"/>
        </w:numPr>
        <w:spacing w:beforeLines="60" w:before="144" w:afterLines="60" w:after="144" w:line="240" w:lineRule="auto"/>
        <w:contextualSpacing w:val="0"/>
        <w:rPr>
          <w:rFonts w:ascii="Century Gothic" w:eastAsia="Century Gothic" w:hAnsi="Century Gothic" w:cs="Century Gothic"/>
          <w:sz w:val="19"/>
          <w:szCs w:val="19"/>
        </w:rPr>
      </w:pPr>
      <w:r w:rsidRPr="1AE41EAE">
        <w:rPr>
          <w:rFonts w:ascii="Century Gothic" w:eastAsia="Century Gothic" w:hAnsi="Century Gothic" w:cs="Century Gothic"/>
          <w:sz w:val="19"/>
          <w:szCs w:val="19"/>
        </w:rPr>
        <w:t>Quadrant 2: Active energy is export (-), reactive energy is capacitive, and the power factor is leading.</w:t>
      </w:r>
    </w:p>
    <w:p w14:paraId="4B6F72E7" w14:textId="77777777" w:rsidR="00DC589A" w:rsidRDefault="00DC589A" w:rsidP="00871EE8">
      <w:pPr>
        <w:pStyle w:val="ListParagraph"/>
        <w:numPr>
          <w:ilvl w:val="1"/>
          <w:numId w:val="44"/>
        </w:numPr>
        <w:spacing w:beforeLines="60" w:before="144" w:afterLines="60" w:after="144" w:line="240" w:lineRule="auto"/>
        <w:contextualSpacing w:val="0"/>
        <w:rPr>
          <w:rFonts w:ascii="Century Gothic" w:eastAsia="Century Gothic" w:hAnsi="Century Gothic" w:cs="Century Gothic"/>
          <w:sz w:val="19"/>
          <w:szCs w:val="19"/>
        </w:rPr>
      </w:pPr>
      <w:r w:rsidRPr="1AE41EAE">
        <w:rPr>
          <w:rFonts w:ascii="Century Gothic" w:eastAsia="Century Gothic" w:hAnsi="Century Gothic" w:cs="Century Gothic"/>
          <w:sz w:val="19"/>
          <w:szCs w:val="19"/>
        </w:rPr>
        <w:t>Quadrant 3: Active energy is import (+), reactive energy is inductive, and the power factor is lagging.</w:t>
      </w:r>
    </w:p>
    <w:p w14:paraId="0D97DCBD" w14:textId="1EF9AD2F" w:rsidR="00DC589A" w:rsidRDefault="00BE54FC" w:rsidP="00871EE8">
      <w:pPr>
        <w:pStyle w:val="ListParagraph"/>
        <w:numPr>
          <w:ilvl w:val="1"/>
          <w:numId w:val="44"/>
        </w:numPr>
        <w:spacing w:beforeLines="60" w:before="144" w:afterLines="60" w:after="144" w:line="240" w:lineRule="auto"/>
        <w:contextualSpacing w:val="0"/>
        <w:rPr>
          <w:rFonts w:ascii="Century Gothic" w:eastAsia="Century Gothic" w:hAnsi="Century Gothic" w:cs="Century Gothic"/>
          <w:sz w:val="19"/>
          <w:szCs w:val="19"/>
        </w:rPr>
      </w:pPr>
      <w:r>
        <w:rPr>
          <w:noProof/>
        </w:rPr>
        <w:drawing>
          <wp:anchor distT="0" distB="0" distL="114300" distR="114300" simplePos="0" relativeHeight="251654144" behindDoc="0" locked="0" layoutInCell="1" allowOverlap="1" wp14:anchorId="01D1BB60" wp14:editId="6B75AB71">
            <wp:simplePos x="0" y="0"/>
            <wp:positionH relativeFrom="page">
              <wp:align>center</wp:align>
            </wp:positionH>
            <wp:positionV relativeFrom="paragraph">
              <wp:posOffset>391532</wp:posOffset>
            </wp:positionV>
            <wp:extent cx="5157952" cy="2634615"/>
            <wp:effectExtent l="76200" t="76200" r="138430" b="127635"/>
            <wp:wrapTopAndBottom/>
            <wp:docPr id="34" name="Picture 34">
              <a:extLst xmlns:a="http://schemas.openxmlformats.org/drawingml/2006/main">
                <a:ext uri="{FF2B5EF4-FFF2-40B4-BE49-F238E27FC236}">
                  <a16:creationId xmlns:a16="http://schemas.microsoft.com/office/drawing/2014/main" id="{0C65BD41-2527-42F8-B671-2D989790FC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C65BD41-2527-42F8-B671-2D989790FC9E}"/>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157952" cy="26346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C589A" w:rsidRPr="1AE41EAE">
        <w:rPr>
          <w:rFonts w:ascii="Century Gothic" w:eastAsia="Century Gothic" w:hAnsi="Century Gothic" w:cs="Century Gothic"/>
          <w:sz w:val="19"/>
          <w:szCs w:val="19"/>
        </w:rPr>
        <w:t>Quadrant 4: Active energy is import (+), reactive energy is capacitive, and the power factor is Leading.</w:t>
      </w:r>
    </w:p>
    <w:p w14:paraId="2C6CCBF9" w14:textId="350514BF" w:rsidR="00E94F73" w:rsidRDefault="00E94F73" w:rsidP="001620EA">
      <w:pPr>
        <w:spacing w:beforeLines="60" w:before="144" w:afterLines="60" w:after="144" w:line="240" w:lineRule="auto"/>
      </w:pPr>
    </w:p>
    <w:p w14:paraId="64D9E47B" w14:textId="77777777" w:rsidR="00E94F73" w:rsidRDefault="00E94F73" w:rsidP="001620EA">
      <w:pPr>
        <w:spacing w:beforeLines="60" w:before="144" w:afterLines="60" w:after="144" w:line="240" w:lineRule="auto"/>
        <w:rPr>
          <w:rFonts w:ascii="Century Gothic" w:hAnsi="Century Gothic"/>
          <w:color w:val="000000" w:themeColor="text1"/>
        </w:rPr>
      </w:pPr>
      <w:r w:rsidRPr="1AE41EAE">
        <w:rPr>
          <w:rFonts w:ascii="Century Gothic" w:hAnsi="Century Gothic"/>
          <w:color w:val="000000" w:themeColor="text1"/>
        </w:rPr>
        <w:t>The metering arrangement adopted per wheeling application will depend on the specific conditions of the wheeling agreement. The following metering philosophy will, however, apply to all wheeling interconnections.</w:t>
      </w:r>
    </w:p>
    <w:p w14:paraId="161F2A9D" w14:textId="31B78EB1" w:rsidR="00E94F73" w:rsidRPr="00E94F73" w:rsidRDefault="00E94F73" w:rsidP="00871EE8">
      <w:pPr>
        <w:pStyle w:val="ListParagraph"/>
        <w:numPr>
          <w:ilvl w:val="0"/>
          <w:numId w:val="46"/>
        </w:numPr>
        <w:pBdr>
          <w:top w:val="nil"/>
          <w:left w:val="nil"/>
          <w:bottom w:val="nil"/>
          <w:right w:val="nil"/>
          <w:between w:val="nil"/>
        </w:pBdr>
        <w:spacing w:beforeLines="60" w:before="144" w:afterLines="60" w:after="144" w:line="240" w:lineRule="auto"/>
        <w:contextualSpacing w:val="0"/>
        <w:rPr>
          <w:rFonts w:ascii="Century Gothic" w:hAnsi="Century Gothic"/>
          <w:color w:val="000000" w:themeColor="text1"/>
        </w:rPr>
      </w:pPr>
      <w:r w:rsidRPr="00E94F73">
        <w:rPr>
          <w:rFonts w:ascii="Century Gothic" w:hAnsi="Century Gothic"/>
          <w:color w:val="000000" w:themeColor="text1"/>
        </w:rPr>
        <w:t>Tariff metering: Tariff metering, owned and maintained by the Utility Network</w:t>
      </w:r>
      <w:r w:rsidR="00927024">
        <w:rPr>
          <w:rFonts w:ascii="Century Gothic" w:hAnsi="Century Gothic"/>
          <w:color w:val="000000" w:themeColor="text1"/>
        </w:rPr>
        <w:t xml:space="preserve"> Service</w:t>
      </w:r>
      <w:r w:rsidRPr="00E94F73">
        <w:rPr>
          <w:rFonts w:ascii="Century Gothic" w:hAnsi="Century Gothic"/>
          <w:color w:val="000000" w:themeColor="text1"/>
        </w:rPr>
        <w:t xml:space="preserve"> Provider</w:t>
      </w:r>
      <w:r w:rsidR="006C58DA">
        <w:rPr>
          <w:rFonts w:ascii="Century Gothic" w:hAnsi="Century Gothic"/>
          <w:color w:val="000000" w:themeColor="text1"/>
        </w:rPr>
        <w:t xml:space="preserve"> (i.e</w:t>
      </w:r>
      <w:r w:rsidR="006775C6">
        <w:rPr>
          <w:rFonts w:ascii="Century Gothic" w:hAnsi="Century Gothic"/>
          <w:color w:val="000000" w:themeColor="text1"/>
        </w:rPr>
        <w:t>.</w:t>
      </w:r>
      <w:r w:rsidR="006C58DA">
        <w:rPr>
          <w:rFonts w:ascii="Century Gothic" w:hAnsi="Century Gothic"/>
          <w:color w:val="000000" w:themeColor="text1"/>
        </w:rPr>
        <w:t xml:space="preserve"> the </w:t>
      </w:r>
      <w:r w:rsidR="00436B2F">
        <w:rPr>
          <w:rFonts w:ascii="Century Gothic" w:hAnsi="Century Gothic"/>
          <w:color w:val="000000" w:themeColor="text1"/>
        </w:rPr>
        <w:t>Municipality</w:t>
      </w:r>
      <w:r w:rsidR="006C58DA">
        <w:rPr>
          <w:rFonts w:ascii="Century Gothic" w:hAnsi="Century Gothic"/>
          <w:color w:val="000000" w:themeColor="text1"/>
        </w:rPr>
        <w:t>)</w:t>
      </w:r>
      <w:r w:rsidRPr="00E94F73">
        <w:rPr>
          <w:rFonts w:ascii="Century Gothic" w:hAnsi="Century Gothic"/>
          <w:color w:val="000000" w:themeColor="text1"/>
        </w:rPr>
        <w:t>, is installed through a main and check meter arrangement at the Point of Utility Connection (PUC). It is used to bill the Wheeling Partner for import and export consumption. The cost of the metering installation and ancillary equipment will be borne by the wheeling consumer.</w:t>
      </w:r>
    </w:p>
    <w:p w14:paraId="44B27A0A" w14:textId="6E7400BE" w:rsidR="00E94F73" w:rsidRPr="00E94F73" w:rsidRDefault="00E94F73" w:rsidP="00871EE8">
      <w:pPr>
        <w:pStyle w:val="ListParagraph"/>
        <w:numPr>
          <w:ilvl w:val="0"/>
          <w:numId w:val="46"/>
        </w:numPr>
        <w:pBdr>
          <w:top w:val="nil"/>
          <w:left w:val="nil"/>
          <w:bottom w:val="nil"/>
          <w:right w:val="nil"/>
          <w:between w:val="nil"/>
        </w:pBdr>
        <w:spacing w:beforeLines="60" w:before="144" w:afterLines="60" w:after="144" w:line="240" w:lineRule="auto"/>
        <w:contextualSpacing w:val="0"/>
        <w:rPr>
          <w:rFonts w:ascii="Century Gothic" w:hAnsi="Century Gothic"/>
          <w:color w:val="000000" w:themeColor="text1"/>
        </w:rPr>
      </w:pPr>
      <w:r w:rsidRPr="00E94F73">
        <w:rPr>
          <w:rFonts w:ascii="Century Gothic" w:hAnsi="Century Gothic"/>
          <w:color w:val="000000" w:themeColor="text1"/>
        </w:rPr>
        <w:t xml:space="preserve">Back-up metering: The </w:t>
      </w:r>
      <w:r w:rsidR="006C58DA">
        <w:rPr>
          <w:rFonts w:ascii="Century Gothic" w:hAnsi="Century Gothic"/>
          <w:color w:val="000000" w:themeColor="text1"/>
        </w:rPr>
        <w:t>Customer or Off</w:t>
      </w:r>
      <w:r w:rsidR="00765E43">
        <w:rPr>
          <w:rFonts w:ascii="Century Gothic" w:hAnsi="Century Gothic"/>
          <w:color w:val="000000" w:themeColor="text1"/>
        </w:rPr>
        <w:t>-</w:t>
      </w:r>
      <w:r w:rsidR="006C58DA">
        <w:rPr>
          <w:rFonts w:ascii="Century Gothic" w:hAnsi="Century Gothic"/>
          <w:color w:val="000000" w:themeColor="text1"/>
        </w:rPr>
        <w:t>taker</w:t>
      </w:r>
      <w:r w:rsidRPr="00E94F73">
        <w:rPr>
          <w:rFonts w:ascii="Century Gothic" w:hAnsi="Century Gothic"/>
          <w:color w:val="000000" w:themeColor="text1"/>
        </w:rPr>
        <w:t xml:space="preserve"> may install a </w:t>
      </w:r>
      <w:r w:rsidR="00BF51B3">
        <w:rPr>
          <w:rFonts w:ascii="Century Gothic" w:hAnsi="Century Gothic"/>
          <w:color w:val="000000" w:themeColor="text1"/>
        </w:rPr>
        <w:t>check</w:t>
      </w:r>
      <w:r w:rsidRPr="00E94F73">
        <w:rPr>
          <w:rFonts w:ascii="Century Gothic" w:hAnsi="Century Gothic"/>
          <w:color w:val="000000" w:themeColor="text1"/>
        </w:rPr>
        <w:t xml:space="preserve"> meter for verification and audit purposes</w:t>
      </w:r>
      <w:r w:rsidR="00C44534">
        <w:rPr>
          <w:rFonts w:ascii="Century Gothic" w:hAnsi="Century Gothic"/>
          <w:color w:val="000000" w:themeColor="text1"/>
        </w:rPr>
        <w:t>.</w:t>
      </w:r>
    </w:p>
    <w:p w14:paraId="0E00A388" w14:textId="2370303E" w:rsidR="00E94F73" w:rsidRPr="00E94F73" w:rsidRDefault="00E94F73" w:rsidP="00871EE8">
      <w:pPr>
        <w:pStyle w:val="ListParagraph"/>
        <w:numPr>
          <w:ilvl w:val="0"/>
          <w:numId w:val="46"/>
        </w:numPr>
        <w:pBdr>
          <w:top w:val="nil"/>
          <w:left w:val="nil"/>
          <w:bottom w:val="nil"/>
          <w:right w:val="nil"/>
          <w:between w:val="nil"/>
        </w:pBdr>
        <w:spacing w:beforeLines="60" w:before="144" w:afterLines="60" w:after="144" w:line="240" w:lineRule="auto"/>
        <w:contextualSpacing w:val="0"/>
        <w:rPr>
          <w:rFonts w:ascii="Century Gothic" w:hAnsi="Century Gothic"/>
          <w:color w:val="000000" w:themeColor="text1"/>
        </w:rPr>
      </w:pPr>
      <w:r w:rsidRPr="00E94F73">
        <w:rPr>
          <w:rFonts w:ascii="Century Gothic" w:hAnsi="Century Gothic"/>
          <w:color w:val="000000" w:themeColor="text1"/>
        </w:rPr>
        <w:t xml:space="preserve">Independent metering: If the </w:t>
      </w:r>
      <w:r w:rsidR="006C58DA">
        <w:rPr>
          <w:rFonts w:ascii="Century Gothic" w:hAnsi="Century Gothic"/>
          <w:color w:val="000000" w:themeColor="text1"/>
        </w:rPr>
        <w:t>Customer or Off</w:t>
      </w:r>
      <w:r w:rsidR="00F95BED">
        <w:rPr>
          <w:rFonts w:ascii="Century Gothic" w:hAnsi="Century Gothic"/>
          <w:color w:val="000000" w:themeColor="text1"/>
        </w:rPr>
        <w:t>-</w:t>
      </w:r>
      <w:r w:rsidR="006C58DA">
        <w:rPr>
          <w:rFonts w:ascii="Century Gothic" w:hAnsi="Century Gothic"/>
          <w:color w:val="000000" w:themeColor="text1"/>
        </w:rPr>
        <w:t>taker</w:t>
      </w:r>
      <w:r w:rsidR="006C58DA" w:rsidRPr="00E94F73">
        <w:rPr>
          <w:rFonts w:ascii="Century Gothic" w:hAnsi="Century Gothic"/>
          <w:color w:val="000000" w:themeColor="text1"/>
        </w:rPr>
        <w:t xml:space="preserve"> </w:t>
      </w:r>
      <w:r w:rsidRPr="00E94F73">
        <w:rPr>
          <w:rFonts w:ascii="Century Gothic" w:hAnsi="Century Gothic"/>
          <w:color w:val="000000" w:themeColor="text1"/>
        </w:rPr>
        <w:t>does not want to use the Utility Network Provider's infrastructure, they are responsible for the installation, maintenance, and operation of their own metering system, complying with the relevant standards.</w:t>
      </w:r>
    </w:p>
    <w:p w14:paraId="498E6056" w14:textId="21F77292" w:rsidR="00E94F73" w:rsidRPr="00E94F73" w:rsidRDefault="00E94F73" w:rsidP="00871EE8">
      <w:pPr>
        <w:pStyle w:val="ListParagraph"/>
        <w:numPr>
          <w:ilvl w:val="0"/>
          <w:numId w:val="46"/>
        </w:numPr>
        <w:pBdr>
          <w:top w:val="nil"/>
          <w:left w:val="nil"/>
          <w:bottom w:val="nil"/>
          <w:right w:val="nil"/>
          <w:between w:val="nil"/>
        </w:pBdr>
        <w:spacing w:beforeLines="60" w:before="144" w:afterLines="60" w:after="144" w:line="240" w:lineRule="auto"/>
        <w:contextualSpacing w:val="0"/>
        <w:rPr>
          <w:rFonts w:ascii="Century Gothic" w:hAnsi="Century Gothic"/>
          <w:color w:val="000000" w:themeColor="text1"/>
        </w:rPr>
      </w:pPr>
      <w:r w:rsidRPr="00E94F73">
        <w:rPr>
          <w:rFonts w:ascii="Century Gothic" w:hAnsi="Century Gothic"/>
          <w:color w:val="000000" w:themeColor="text1"/>
        </w:rPr>
        <w:t xml:space="preserve">Tariff meters for selling energy: Tariff meters for selling electrical energy to the Utility Network Provider should measure energy exported by the Wheeling Partner, excluding the power consumed by its auxiliaries. The Utility Network Provider may bill the </w:t>
      </w:r>
      <w:r w:rsidR="00F502AD">
        <w:rPr>
          <w:rFonts w:ascii="Century Gothic" w:hAnsi="Century Gothic"/>
          <w:color w:val="000000" w:themeColor="text1"/>
        </w:rPr>
        <w:t>Customer or Off</w:t>
      </w:r>
      <w:r w:rsidR="00473CF8">
        <w:rPr>
          <w:rFonts w:ascii="Century Gothic" w:hAnsi="Century Gothic"/>
          <w:color w:val="000000" w:themeColor="text1"/>
        </w:rPr>
        <w:t>-</w:t>
      </w:r>
      <w:r w:rsidR="00F502AD">
        <w:rPr>
          <w:rFonts w:ascii="Century Gothic" w:hAnsi="Century Gothic"/>
          <w:color w:val="000000" w:themeColor="text1"/>
        </w:rPr>
        <w:t>taker</w:t>
      </w:r>
      <w:r w:rsidR="00F502AD" w:rsidRPr="00E94F73">
        <w:rPr>
          <w:rFonts w:ascii="Century Gothic" w:hAnsi="Century Gothic"/>
          <w:color w:val="000000" w:themeColor="text1"/>
        </w:rPr>
        <w:t xml:space="preserve"> </w:t>
      </w:r>
      <w:r w:rsidRPr="00E94F73">
        <w:rPr>
          <w:rFonts w:ascii="Century Gothic" w:hAnsi="Century Gothic"/>
          <w:color w:val="000000" w:themeColor="text1"/>
        </w:rPr>
        <w:t>for the energy consumed as import energy.</w:t>
      </w:r>
    </w:p>
    <w:p w14:paraId="7612AB77" w14:textId="39602B17" w:rsidR="00E94F73" w:rsidRPr="00E94F73" w:rsidRDefault="00E94F73" w:rsidP="00871EE8">
      <w:pPr>
        <w:pStyle w:val="ListParagraph"/>
        <w:numPr>
          <w:ilvl w:val="0"/>
          <w:numId w:val="46"/>
        </w:numPr>
        <w:pBdr>
          <w:top w:val="nil"/>
          <w:left w:val="nil"/>
          <w:bottom w:val="nil"/>
          <w:right w:val="nil"/>
          <w:between w:val="nil"/>
        </w:pBdr>
        <w:spacing w:beforeLines="60" w:before="144" w:afterLines="60" w:after="144" w:line="240" w:lineRule="auto"/>
        <w:contextualSpacing w:val="0"/>
        <w:rPr>
          <w:rFonts w:ascii="Century Gothic" w:hAnsi="Century Gothic"/>
          <w:color w:val="000000" w:themeColor="text1"/>
        </w:rPr>
      </w:pPr>
      <w:r w:rsidRPr="00E94F73">
        <w:rPr>
          <w:rFonts w:ascii="Century Gothic" w:hAnsi="Century Gothic"/>
          <w:color w:val="000000" w:themeColor="text1"/>
        </w:rPr>
        <w:t>Remote downloading: All meters should include facilities for automated remote downloading by service providers. Meters are energized via their auxiliary input, preferably by a 110V DC supply or a 240V AC supply. Class 0.5 meters without an auxiliary input facility may be energized through the normal 110V VT supply.</w:t>
      </w:r>
    </w:p>
    <w:p w14:paraId="53F18D89" w14:textId="3117BDC0" w:rsidR="2CC72CBD" w:rsidRPr="005D1267" w:rsidRDefault="00E94F73" w:rsidP="00871EE8">
      <w:pPr>
        <w:pStyle w:val="ListParagraph"/>
        <w:numPr>
          <w:ilvl w:val="0"/>
          <w:numId w:val="46"/>
        </w:numPr>
        <w:spacing w:beforeLines="60" w:before="144" w:afterLines="60" w:after="144" w:line="240" w:lineRule="auto"/>
        <w:contextualSpacing w:val="0"/>
        <w:rPr>
          <w:rFonts w:ascii="Century Gothic" w:hAnsi="Century Gothic"/>
          <w:b/>
          <w:bCs/>
          <w:u w:val="single"/>
        </w:rPr>
      </w:pPr>
      <w:r w:rsidRPr="00E94F73">
        <w:rPr>
          <w:rFonts w:ascii="Century Gothic" w:hAnsi="Century Gothic"/>
          <w:color w:val="000000" w:themeColor="text1"/>
        </w:rPr>
        <w:t xml:space="preserve">Utility Network Provider's metering system: In cases where the Utility Network Provider's metering system is installed within a customer or Wheeling consumers substation or industrial plant, the Utility Network Provider's metering equipment will be limited to the metering panel and associated equipment. </w:t>
      </w:r>
    </w:p>
    <w:p w14:paraId="3B2B447C" w14:textId="4013BA4E" w:rsidR="00F502AD" w:rsidRDefault="00F502AD" w:rsidP="001620EA">
      <w:pPr>
        <w:pBdr>
          <w:top w:val="nil"/>
          <w:left w:val="nil"/>
          <w:bottom w:val="nil"/>
          <w:right w:val="nil"/>
          <w:between w:val="nil"/>
        </w:pBdr>
        <w:spacing w:beforeLines="60" w:before="144" w:afterLines="60" w:after="144" w:line="240" w:lineRule="auto"/>
        <w:rPr>
          <w:rFonts w:ascii="Century Gothic" w:hAnsi="Century Gothic"/>
          <w:color w:val="000000" w:themeColor="text1"/>
        </w:rPr>
      </w:pPr>
      <w:r>
        <w:rPr>
          <w:rFonts w:ascii="Century Gothic" w:hAnsi="Century Gothic"/>
          <w:color w:val="000000" w:themeColor="text1"/>
        </w:rPr>
        <w:t>Smart metering</w:t>
      </w:r>
      <w:r w:rsidR="00BF5F95">
        <w:rPr>
          <w:rFonts w:ascii="Century Gothic" w:hAnsi="Century Gothic"/>
          <w:color w:val="000000" w:themeColor="text1"/>
        </w:rPr>
        <w:t>, AMR platforms and data exchange</w:t>
      </w:r>
      <w:r w:rsidR="002F27B3">
        <w:rPr>
          <w:rFonts w:ascii="Century Gothic" w:hAnsi="Century Gothic"/>
          <w:color w:val="000000" w:themeColor="text1"/>
        </w:rPr>
        <w:t>:</w:t>
      </w:r>
    </w:p>
    <w:p w14:paraId="17FE49D3" w14:textId="6C5129C9" w:rsidR="00436B2F" w:rsidRPr="00712ED6" w:rsidRDefault="00D6362E" w:rsidP="00871EE8">
      <w:pPr>
        <w:pStyle w:val="ListParagraph"/>
        <w:numPr>
          <w:ilvl w:val="0"/>
          <w:numId w:val="46"/>
        </w:numPr>
        <w:pBdr>
          <w:top w:val="nil"/>
          <w:left w:val="nil"/>
          <w:bottom w:val="nil"/>
          <w:right w:val="nil"/>
          <w:between w:val="nil"/>
        </w:pBdr>
        <w:spacing w:beforeLines="60" w:before="144" w:afterLines="60" w:after="144" w:line="240" w:lineRule="auto"/>
        <w:contextualSpacing w:val="0"/>
        <w:rPr>
          <w:rFonts w:ascii="Century Gothic" w:hAnsi="Century Gothic"/>
          <w:color w:val="000000" w:themeColor="text1"/>
        </w:rPr>
      </w:pPr>
      <w:r w:rsidRPr="00712ED6">
        <w:rPr>
          <w:rFonts w:ascii="Century Gothic" w:hAnsi="Century Gothic"/>
          <w:color w:val="000000" w:themeColor="text1"/>
        </w:rPr>
        <w:t>Overall, a well-designed and cost-effective metering infrastructure, supported by a comprehensive A</w:t>
      </w:r>
      <w:r w:rsidR="009C09D7" w:rsidRPr="00712ED6">
        <w:rPr>
          <w:rFonts w:ascii="Century Gothic" w:hAnsi="Century Gothic"/>
          <w:color w:val="000000" w:themeColor="text1"/>
        </w:rPr>
        <w:t>MI</w:t>
      </w:r>
      <w:r w:rsidRPr="00712ED6">
        <w:rPr>
          <w:rFonts w:ascii="Century Gothic" w:hAnsi="Century Gothic"/>
          <w:color w:val="000000" w:themeColor="text1"/>
        </w:rPr>
        <w:t xml:space="preserve"> platform, is essential for the success of embedded generation and wheeling, providing accurate data for billing and promoting efficient use of energy resources.</w:t>
      </w:r>
    </w:p>
    <w:p w14:paraId="07E4014B" w14:textId="5D0346D8" w:rsidR="00436B2F" w:rsidRDefault="00436B2F" w:rsidP="00871EE8">
      <w:pPr>
        <w:pStyle w:val="ListParagraph"/>
        <w:numPr>
          <w:ilvl w:val="0"/>
          <w:numId w:val="46"/>
        </w:numPr>
        <w:pBdr>
          <w:top w:val="nil"/>
          <w:left w:val="nil"/>
          <w:bottom w:val="nil"/>
          <w:right w:val="nil"/>
          <w:between w:val="nil"/>
        </w:pBdr>
        <w:spacing w:beforeLines="60" w:before="144" w:afterLines="60" w:after="144" w:line="240" w:lineRule="auto"/>
        <w:contextualSpacing w:val="0"/>
        <w:rPr>
          <w:rFonts w:ascii="Century Gothic" w:hAnsi="Century Gothic"/>
          <w:color w:val="000000" w:themeColor="text1"/>
        </w:rPr>
      </w:pPr>
      <w:r w:rsidRPr="00712ED6">
        <w:rPr>
          <w:rFonts w:ascii="Century Gothic" w:hAnsi="Century Gothic"/>
          <w:color w:val="000000" w:themeColor="text1"/>
        </w:rPr>
        <w:t xml:space="preserve">Wheeling data: </w:t>
      </w:r>
      <w:r w:rsidRPr="005D1267">
        <w:rPr>
          <w:rFonts w:ascii="Century Gothic" w:hAnsi="Century Gothic"/>
          <w:color w:val="000000" w:themeColor="text1"/>
        </w:rPr>
        <w:t xml:space="preserve">For each external wheeling contract, Eskom offsets the wheeled energy from the metered supply to the </w:t>
      </w:r>
      <w:r>
        <w:rPr>
          <w:rFonts w:ascii="Century Gothic" w:hAnsi="Century Gothic"/>
          <w:color w:val="000000" w:themeColor="text1"/>
        </w:rPr>
        <w:t>Municipality</w:t>
      </w:r>
      <w:r w:rsidRPr="005D1267">
        <w:rPr>
          <w:rFonts w:ascii="Century Gothic" w:hAnsi="Century Gothic"/>
          <w:color w:val="000000" w:themeColor="text1"/>
        </w:rPr>
        <w:t xml:space="preserve">. The load proﬁle of this subtracted energy is supplied in accordance with tripartite agreement and needs to be processed by the billing system. </w:t>
      </w:r>
    </w:p>
    <w:p w14:paraId="713F0A88" w14:textId="71495D78" w:rsidR="0011435D" w:rsidRDefault="004B5018" w:rsidP="00871EE8">
      <w:pPr>
        <w:pStyle w:val="ListParagraph"/>
        <w:numPr>
          <w:ilvl w:val="0"/>
          <w:numId w:val="46"/>
        </w:numPr>
        <w:pBdr>
          <w:top w:val="nil"/>
          <w:left w:val="nil"/>
          <w:bottom w:val="nil"/>
          <w:right w:val="nil"/>
          <w:between w:val="nil"/>
        </w:pBdr>
        <w:spacing w:beforeLines="60" w:before="144" w:afterLines="60" w:after="144" w:line="240" w:lineRule="auto"/>
        <w:contextualSpacing w:val="0"/>
        <w:rPr>
          <w:rFonts w:ascii="Century Gothic" w:hAnsi="Century Gothic"/>
          <w:color w:val="000000" w:themeColor="text1"/>
        </w:rPr>
      </w:pPr>
      <w:r w:rsidRPr="004B5018">
        <w:rPr>
          <w:rFonts w:ascii="Century Gothic" w:hAnsi="Century Gothic"/>
          <w:color w:val="000000" w:themeColor="text1"/>
        </w:rPr>
        <w:t xml:space="preserve">The connection will be secured by </w:t>
      </w:r>
      <w:r w:rsidR="003724E2" w:rsidRPr="004B5018">
        <w:rPr>
          <w:rFonts w:ascii="Century Gothic" w:hAnsi="Century Gothic"/>
          <w:color w:val="000000" w:themeColor="text1"/>
        </w:rPr>
        <w:t xml:space="preserve">Transport Layer Security </w:t>
      </w:r>
      <w:r w:rsidRPr="004B5018">
        <w:rPr>
          <w:rFonts w:ascii="Century Gothic" w:hAnsi="Century Gothic"/>
          <w:color w:val="000000" w:themeColor="text1"/>
        </w:rPr>
        <w:t>(TLS) and</w:t>
      </w:r>
      <w:r>
        <w:rPr>
          <w:rFonts w:ascii="Century Gothic" w:hAnsi="Century Gothic"/>
          <w:color w:val="000000" w:themeColor="text1"/>
        </w:rPr>
        <w:t xml:space="preserve"> </w:t>
      </w:r>
      <w:r w:rsidRPr="004B5018">
        <w:rPr>
          <w:rFonts w:ascii="Century Gothic" w:hAnsi="Century Gothic"/>
          <w:color w:val="000000" w:themeColor="text1"/>
        </w:rPr>
        <w:t>the data transferred will be signed by public-private keys to ensure</w:t>
      </w:r>
      <w:r>
        <w:rPr>
          <w:rFonts w:ascii="Century Gothic" w:hAnsi="Century Gothic"/>
          <w:color w:val="000000" w:themeColor="text1"/>
        </w:rPr>
        <w:t xml:space="preserve"> </w:t>
      </w:r>
      <w:r w:rsidRPr="004B5018">
        <w:rPr>
          <w:rFonts w:ascii="Century Gothic" w:hAnsi="Century Gothic"/>
          <w:color w:val="000000" w:themeColor="text1"/>
        </w:rPr>
        <w:t>that the content can be authenticated even if it was handled by a</w:t>
      </w:r>
      <w:r>
        <w:rPr>
          <w:rFonts w:ascii="Century Gothic" w:hAnsi="Century Gothic"/>
          <w:color w:val="000000" w:themeColor="text1"/>
        </w:rPr>
        <w:t xml:space="preserve"> </w:t>
      </w:r>
      <w:r w:rsidRPr="004B5018">
        <w:rPr>
          <w:rFonts w:ascii="Century Gothic" w:hAnsi="Century Gothic"/>
          <w:color w:val="000000" w:themeColor="text1"/>
        </w:rPr>
        <w:t>third party.</w:t>
      </w:r>
    </w:p>
    <w:p w14:paraId="5DCDEE18" w14:textId="6A2100B5" w:rsidR="004B5018" w:rsidRDefault="004B5018" w:rsidP="00871EE8">
      <w:pPr>
        <w:pStyle w:val="ListParagraph"/>
        <w:numPr>
          <w:ilvl w:val="0"/>
          <w:numId w:val="46"/>
        </w:numPr>
        <w:pBdr>
          <w:top w:val="nil"/>
          <w:left w:val="nil"/>
          <w:bottom w:val="nil"/>
          <w:right w:val="nil"/>
          <w:between w:val="nil"/>
        </w:pBdr>
        <w:spacing w:beforeLines="60" w:before="144" w:afterLines="60" w:after="144" w:line="240" w:lineRule="auto"/>
        <w:contextualSpacing w:val="0"/>
        <w:rPr>
          <w:rFonts w:ascii="Century Gothic" w:hAnsi="Century Gothic"/>
          <w:color w:val="000000" w:themeColor="text1"/>
        </w:rPr>
      </w:pPr>
      <w:r w:rsidRPr="0011435D">
        <w:rPr>
          <w:rFonts w:ascii="Century Gothic" w:hAnsi="Century Gothic"/>
          <w:color w:val="000000" w:themeColor="text1"/>
        </w:rPr>
        <w:t>The data exchange will be in accordance with NRS 049-5-2.</w:t>
      </w:r>
      <w:r w:rsidR="00533921">
        <w:rPr>
          <w:rFonts w:ascii="Century Gothic" w:hAnsi="Century Gothic"/>
          <w:color w:val="000000" w:themeColor="text1"/>
        </w:rPr>
        <w:t xml:space="preserve"> </w:t>
      </w:r>
      <w:r w:rsidR="00533921" w:rsidRPr="00533921">
        <w:rPr>
          <w:rFonts w:ascii="Century Gothic" w:hAnsi="Century Gothic"/>
          <w:color w:val="000000" w:themeColor="text1"/>
        </w:rPr>
        <w:t xml:space="preserve">NRS 049-5-2 refers to the National </w:t>
      </w:r>
      <w:r w:rsidR="00FE68A3">
        <w:rPr>
          <w:rFonts w:ascii="Century Gothic" w:hAnsi="Century Gothic"/>
          <w:color w:val="000000" w:themeColor="text1"/>
        </w:rPr>
        <w:t xml:space="preserve">Ratification </w:t>
      </w:r>
      <w:r w:rsidR="00533921" w:rsidRPr="00533921">
        <w:rPr>
          <w:rFonts w:ascii="Century Gothic" w:hAnsi="Century Gothic"/>
          <w:color w:val="000000" w:themeColor="text1"/>
        </w:rPr>
        <w:t>Standard (NRS)</w:t>
      </w:r>
      <w:r w:rsidR="00535994">
        <w:rPr>
          <w:rFonts w:ascii="Century Gothic" w:hAnsi="Century Gothic"/>
          <w:color w:val="000000" w:themeColor="text1"/>
        </w:rPr>
        <w:t xml:space="preserve"> and has a deep focus on </w:t>
      </w:r>
      <w:r w:rsidR="00535994" w:rsidRPr="00535994">
        <w:rPr>
          <w:rFonts w:ascii="Century Gothic" w:hAnsi="Century Gothic"/>
          <w:color w:val="000000" w:themeColor="text1"/>
        </w:rPr>
        <w:t>Data Exchange</w:t>
      </w:r>
      <w:r w:rsidR="00535994">
        <w:rPr>
          <w:rFonts w:ascii="Century Gothic" w:hAnsi="Century Gothic"/>
          <w:color w:val="000000" w:themeColor="text1"/>
        </w:rPr>
        <w:t xml:space="preserve">. </w:t>
      </w:r>
      <w:r w:rsidR="00535994" w:rsidRPr="00535994">
        <w:rPr>
          <w:rFonts w:ascii="Century Gothic" w:hAnsi="Century Gothic"/>
          <w:color w:val="000000" w:themeColor="text1"/>
        </w:rPr>
        <w:t>The standard defines the data exchange protocols and formats to be used when communicating with smart electricity meters. It ensures that the data exchanged between the meters and external systems (e.g., utility providers' data management systems) adhere to standardized formats, enabling seamless integration and data interoperability.</w:t>
      </w:r>
      <w:r w:rsidR="00FE52B8">
        <w:rPr>
          <w:rFonts w:ascii="Century Gothic" w:hAnsi="Century Gothic"/>
          <w:color w:val="000000" w:themeColor="text1"/>
        </w:rPr>
        <w:t xml:space="preserve"> </w:t>
      </w:r>
      <w:r w:rsidR="00FE52B8" w:rsidRPr="00FE52B8">
        <w:rPr>
          <w:rFonts w:ascii="Century Gothic" w:hAnsi="Century Gothic"/>
          <w:color w:val="000000" w:themeColor="text1"/>
        </w:rPr>
        <w:t>In the context of third-party wheeling or any other electricity-related transactions, adherence to NRS 049-5-2 is crucial to ensure the accuracy, reliability, and compatibility of smart electricity meters. Compliance with this standard enables transparent and consistent data exchange, which is essential for accurate billing, efficient energy management, and overall integrity of the electricity supply chain.</w:t>
      </w:r>
    </w:p>
    <w:p w14:paraId="1538B001" w14:textId="040CD5B7" w:rsidR="008546DB" w:rsidRDefault="0011435D" w:rsidP="00871EE8">
      <w:pPr>
        <w:pStyle w:val="ListParagraph"/>
        <w:numPr>
          <w:ilvl w:val="0"/>
          <w:numId w:val="46"/>
        </w:numPr>
        <w:pBdr>
          <w:top w:val="nil"/>
          <w:left w:val="nil"/>
          <w:bottom w:val="nil"/>
          <w:right w:val="nil"/>
          <w:between w:val="nil"/>
        </w:pBdr>
        <w:spacing w:beforeLines="60" w:before="144" w:afterLines="60" w:after="144" w:line="240" w:lineRule="auto"/>
        <w:contextualSpacing w:val="0"/>
        <w:rPr>
          <w:rFonts w:ascii="Century Gothic" w:hAnsi="Century Gothic"/>
          <w:color w:val="000000" w:themeColor="text1"/>
        </w:rPr>
      </w:pPr>
      <w:r w:rsidRPr="0011435D">
        <w:rPr>
          <w:rFonts w:ascii="Century Gothic" w:hAnsi="Century Gothic"/>
          <w:color w:val="000000" w:themeColor="text1"/>
        </w:rPr>
        <w:lastRenderedPageBreak/>
        <w:t xml:space="preserve">The data transferred will be in accordance with the CIM </w:t>
      </w:r>
      <w:r w:rsidR="00AB79B4">
        <w:rPr>
          <w:rFonts w:ascii="Century Gothic" w:hAnsi="Century Gothic"/>
          <w:color w:val="000000" w:themeColor="text1"/>
        </w:rPr>
        <w:t>(</w:t>
      </w:r>
      <w:r w:rsidR="00AB79B4" w:rsidRPr="00AB79B4">
        <w:rPr>
          <w:rFonts w:ascii="Century Gothic" w:hAnsi="Century Gothic"/>
          <w:color w:val="000000" w:themeColor="text1"/>
        </w:rPr>
        <w:t>Common Information Model</w:t>
      </w:r>
      <w:r w:rsidR="00AB79B4">
        <w:rPr>
          <w:rFonts w:ascii="Century Gothic" w:hAnsi="Century Gothic"/>
          <w:color w:val="000000" w:themeColor="text1"/>
        </w:rPr>
        <w:t xml:space="preserve">) </w:t>
      </w:r>
      <w:r w:rsidRPr="0011435D">
        <w:rPr>
          <w:rFonts w:ascii="Century Gothic" w:hAnsi="Century Gothic"/>
          <w:color w:val="000000" w:themeColor="text1"/>
        </w:rPr>
        <w:t xml:space="preserve">model speciﬁed in IEC 61968-9 and the data will be signed with clear text </w:t>
      </w:r>
      <w:proofErr w:type="spellStart"/>
      <w:r w:rsidRPr="0011435D">
        <w:rPr>
          <w:rFonts w:ascii="Century Gothic" w:hAnsi="Century Gothic"/>
          <w:color w:val="000000" w:themeColor="text1"/>
        </w:rPr>
        <w:t>JAdES</w:t>
      </w:r>
      <w:proofErr w:type="spellEnd"/>
      <w:r w:rsidRPr="0011435D">
        <w:rPr>
          <w:rFonts w:ascii="Century Gothic" w:hAnsi="Century Gothic"/>
          <w:color w:val="000000" w:themeColor="text1"/>
        </w:rPr>
        <w:t xml:space="preserve"> </w:t>
      </w:r>
      <w:r w:rsidR="00B01CA8" w:rsidRPr="00B01CA8">
        <w:rPr>
          <w:rFonts w:ascii="Century Gothic" w:hAnsi="Century Gothic"/>
          <w:color w:val="000000" w:themeColor="text1"/>
        </w:rPr>
        <w:t xml:space="preserve">(JSON Advanced Electronic Signature) </w:t>
      </w:r>
      <w:r w:rsidRPr="0011435D">
        <w:rPr>
          <w:rFonts w:ascii="Century Gothic" w:hAnsi="Century Gothic"/>
          <w:color w:val="000000" w:themeColor="text1"/>
        </w:rPr>
        <w:t>or</w:t>
      </w:r>
      <w:r w:rsidR="001E5EBD">
        <w:rPr>
          <w:rFonts w:ascii="Century Gothic" w:hAnsi="Century Gothic"/>
          <w:color w:val="000000" w:themeColor="text1"/>
        </w:rPr>
        <w:t xml:space="preserve"> </w:t>
      </w:r>
      <w:proofErr w:type="spellStart"/>
      <w:r w:rsidR="001E5EBD" w:rsidRPr="001E5EBD">
        <w:rPr>
          <w:rFonts w:ascii="Century Gothic" w:hAnsi="Century Gothic"/>
          <w:color w:val="000000" w:themeColor="text1"/>
        </w:rPr>
        <w:t>XAdES</w:t>
      </w:r>
      <w:proofErr w:type="spellEnd"/>
      <w:r w:rsidR="00B01CA8">
        <w:rPr>
          <w:rFonts w:ascii="Century Gothic" w:hAnsi="Century Gothic"/>
          <w:color w:val="000000" w:themeColor="text1"/>
        </w:rPr>
        <w:t xml:space="preserve"> </w:t>
      </w:r>
      <w:r w:rsidR="00B01CA8" w:rsidRPr="00B01CA8">
        <w:rPr>
          <w:rFonts w:ascii="Century Gothic" w:hAnsi="Century Gothic"/>
          <w:color w:val="000000" w:themeColor="text1"/>
        </w:rPr>
        <w:t>(XML Advanced Electronic Signature)</w:t>
      </w:r>
      <w:r w:rsidR="001E5EBD" w:rsidRPr="001E5EBD">
        <w:rPr>
          <w:rFonts w:ascii="Century Gothic" w:hAnsi="Century Gothic"/>
          <w:color w:val="000000" w:themeColor="text1"/>
        </w:rPr>
        <w:t>. (JSON Advanced Electronic Signature or XML Advanced Electronic Signature)</w:t>
      </w:r>
      <w:r w:rsidR="00B64A28">
        <w:rPr>
          <w:rFonts w:ascii="Century Gothic" w:hAnsi="Century Gothic"/>
          <w:color w:val="000000" w:themeColor="text1"/>
        </w:rPr>
        <w:t>.</w:t>
      </w:r>
      <w:r w:rsidR="00373672">
        <w:rPr>
          <w:rFonts w:ascii="Century Gothic" w:hAnsi="Century Gothic"/>
          <w:color w:val="000000" w:themeColor="text1"/>
        </w:rPr>
        <w:t xml:space="preserve"> </w:t>
      </w:r>
      <w:r w:rsidR="008546DB">
        <w:rPr>
          <w:rFonts w:ascii="Century Gothic" w:hAnsi="Century Gothic"/>
          <w:color w:val="000000" w:themeColor="text1"/>
        </w:rPr>
        <w:t>To further elaborate</w:t>
      </w:r>
      <w:r w:rsidR="00AB79B4">
        <w:rPr>
          <w:rFonts w:ascii="Century Gothic" w:hAnsi="Century Gothic"/>
          <w:color w:val="000000" w:themeColor="text1"/>
        </w:rPr>
        <w:t>:</w:t>
      </w:r>
    </w:p>
    <w:p w14:paraId="6ABDC115" w14:textId="77777777" w:rsidR="008546DB" w:rsidRPr="001911C5" w:rsidRDefault="00373672" w:rsidP="00871EE8">
      <w:pPr>
        <w:pStyle w:val="ListParagraph"/>
        <w:numPr>
          <w:ilvl w:val="1"/>
          <w:numId w:val="44"/>
        </w:numPr>
        <w:spacing w:beforeLines="60" w:before="144" w:afterLines="60" w:after="144" w:line="240" w:lineRule="auto"/>
        <w:contextualSpacing w:val="0"/>
        <w:rPr>
          <w:rFonts w:ascii="Century Gothic" w:eastAsia="Century Gothic" w:hAnsi="Century Gothic" w:cs="Century Gothic"/>
          <w:sz w:val="19"/>
          <w:szCs w:val="19"/>
        </w:rPr>
      </w:pPr>
      <w:r w:rsidRPr="001911C5">
        <w:rPr>
          <w:rFonts w:ascii="Century Gothic" w:eastAsia="Century Gothic" w:hAnsi="Century Gothic" w:cs="Century Gothic"/>
          <w:sz w:val="19"/>
          <w:szCs w:val="19"/>
        </w:rPr>
        <w:t xml:space="preserve">This </w:t>
      </w:r>
      <w:r w:rsidR="008546DB" w:rsidRPr="001911C5">
        <w:rPr>
          <w:rFonts w:ascii="Century Gothic" w:eastAsia="Century Gothic" w:hAnsi="Century Gothic" w:cs="Century Gothic"/>
          <w:sz w:val="19"/>
          <w:szCs w:val="19"/>
        </w:rPr>
        <w:t>refers</w:t>
      </w:r>
      <w:r w:rsidRPr="001911C5">
        <w:rPr>
          <w:rFonts w:ascii="Century Gothic" w:eastAsia="Century Gothic" w:hAnsi="Century Gothic" w:cs="Century Gothic"/>
          <w:sz w:val="19"/>
          <w:szCs w:val="19"/>
        </w:rPr>
        <w:t xml:space="preserve"> to the data exchange and security protocols used in the context of smart metering or energy management systems.</w:t>
      </w:r>
      <w:r w:rsidR="00496CD6" w:rsidRPr="001911C5">
        <w:rPr>
          <w:rFonts w:ascii="Century Gothic" w:eastAsia="Century Gothic" w:hAnsi="Century Gothic" w:cs="Century Gothic"/>
          <w:sz w:val="19"/>
          <w:szCs w:val="19"/>
        </w:rPr>
        <w:t xml:space="preserve"> </w:t>
      </w:r>
    </w:p>
    <w:p w14:paraId="35DA526A" w14:textId="4FD50329" w:rsidR="008546DB" w:rsidRPr="001911C5" w:rsidRDefault="00496CD6" w:rsidP="00871EE8">
      <w:pPr>
        <w:pStyle w:val="ListParagraph"/>
        <w:numPr>
          <w:ilvl w:val="1"/>
          <w:numId w:val="44"/>
        </w:numPr>
        <w:spacing w:beforeLines="60" w:before="144" w:afterLines="60" w:after="144" w:line="240" w:lineRule="auto"/>
        <w:contextualSpacing w:val="0"/>
        <w:rPr>
          <w:rFonts w:ascii="Century Gothic" w:eastAsia="Century Gothic" w:hAnsi="Century Gothic" w:cs="Century Gothic"/>
          <w:sz w:val="19"/>
          <w:szCs w:val="19"/>
        </w:rPr>
      </w:pPr>
      <w:r w:rsidRPr="001911C5">
        <w:rPr>
          <w:rFonts w:ascii="Century Gothic" w:eastAsia="Century Gothic" w:hAnsi="Century Gothic" w:cs="Century Gothic"/>
          <w:sz w:val="19"/>
          <w:szCs w:val="19"/>
        </w:rPr>
        <w:t>CIM Model (Common Information Model) - IEC 61968-9: The Common Information Model (CIM) is an international standard (IEC 61970 series) that provides a standardized way to represent and exchange information related to electrical systems and energy management. IEC 61968-9 specifically focuses on the "Application Integration at Electric Utilities - System Interfaces for Distribution Management - Part 9: Interfaces for Meter Reading and Control</w:t>
      </w:r>
      <w:r w:rsidR="00B01CA8">
        <w:rPr>
          <w:rFonts w:ascii="Century Gothic" w:eastAsia="Century Gothic" w:hAnsi="Century Gothic" w:cs="Century Gothic"/>
          <w:sz w:val="19"/>
          <w:szCs w:val="19"/>
        </w:rPr>
        <w:t>”</w:t>
      </w:r>
      <w:r w:rsidRPr="001911C5">
        <w:rPr>
          <w:rFonts w:ascii="Century Gothic" w:eastAsia="Century Gothic" w:hAnsi="Century Gothic" w:cs="Century Gothic"/>
          <w:sz w:val="19"/>
          <w:szCs w:val="19"/>
        </w:rPr>
        <w:t>.</w:t>
      </w:r>
      <w:r w:rsidR="008546DB" w:rsidRPr="001911C5">
        <w:rPr>
          <w:rFonts w:ascii="Century Gothic" w:eastAsia="Century Gothic" w:hAnsi="Century Gothic" w:cs="Century Gothic"/>
          <w:sz w:val="19"/>
          <w:szCs w:val="19"/>
        </w:rPr>
        <w:t xml:space="preserve"> </w:t>
      </w:r>
    </w:p>
    <w:p w14:paraId="54E1B0F9" w14:textId="0CA52071" w:rsidR="0011435D" w:rsidRPr="001911C5" w:rsidRDefault="008546DB" w:rsidP="00871EE8">
      <w:pPr>
        <w:pStyle w:val="ListParagraph"/>
        <w:numPr>
          <w:ilvl w:val="1"/>
          <w:numId w:val="44"/>
        </w:numPr>
        <w:spacing w:beforeLines="60" w:before="144" w:afterLines="60" w:after="144" w:line="240" w:lineRule="auto"/>
        <w:contextualSpacing w:val="0"/>
        <w:rPr>
          <w:rFonts w:ascii="Century Gothic" w:eastAsia="Century Gothic" w:hAnsi="Century Gothic" w:cs="Century Gothic"/>
          <w:sz w:val="19"/>
          <w:szCs w:val="19"/>
        </w:rPr>
      </w:pPr>
      <w:r w:rsidRPr="001911C5">
        <w:rPr>
          <w:rFonts w:ascii="Century Gothic" w:eastAsia="Century Gothic" w:hAnsi="Century Gothic" w:cs="Century Gothic"/>
          <w:sz w:val="19"/>
          <w:szCs w:val="19"/>
        </w:rPr>
        <w:t>The CIM model defines a standardized data structure and format that allows seamless communication and data exchange between different components of the electrical network, such as smart meters, data management systems, and utility providers. By adhering to the CIM model, the data exchanged between these components can be easily interpreted and utilized, ensuring interoperability and efficient energy management.</w:t>
      </w:r>
    </w:p>
    <w:p w14:paraId="76CB399F" w14:textId="77777777" w:rsidR="006D66E9" w:rsidRPr="001911C5" w:rsidRDefault="006D66E9" w:rsidP="00871EE8">
      <w:pPr>
        <w:pStyle w:val="ListParagraph"/>
        <w:numPr>
          <w:ilvl w:val="1"/>
          <w:numId w:val="44"/>
        </w:numPr>
        <w:spacing w:beforeLines="60" w:before="144" w:afterLines="60" w:after="144" w:line="240" w:lineRule="auto"/>
        <w:contextualSpacing w:val="0"/>
        <w:rPr>
          <w:rFonts w:ascii="Century Gothic" w:eastAsia="Century Gothic" w:hAnsi="Century Gothic" w:cs="Century Gothic"/>
          <w:sz w:val="19"/>
          <w:szCs w:val="19"/>
        </w:rPr>
      </w:pPr>
      <w:proofErr w:type="spellStart"/>
      <w:r w:rsidRPr="001911C5">
        <w:rPr>
          <w:rFonts w:ascii="Century Gothic" w:eastAsia="Century Gothic" w:hAnsi="Century Gothic" w:cs="Century Gothic"/>
          <w:sz w:val="19"/>
          <w:szCs w:val="19"/>
        </w:rPr>
        <w:t>JAdES</w:t>
      </w:r>
      <w:proofErr w:type="spellEnd"/>
      <w:r w:rsidRPr="001911C5">
        <w:rPr>
          <w:rFonts w:ascii="Century Gothic" w:eastAsia="Century Gothic" w:hAnsi="Century Gothic" w:cs="Century Gothic"/>
          <w:sz w:val="19"/>
          <w:szCs w:val="19"/>
        </w:rPr>
        <w:t xml:space="preserve"> (JSON Advanced Electronic Signature) and </w:t>
      </w:r>
      <w:proofErr w:type="spellStart"/>
      <w:r w:rsidRPr="001911C5">
        <w:rPr>
          <w:rFonts w:ascii="Century Gothic" w:eastAsia="Century Gothic" w:hAnsi="Century Gothic" w:cs="Century Gothic"/>
          <w:sz w:val="19"/>
          <w:szCs w:val="19"/>
        </w:rPr>
        <w:t>XAdES</w:t>
      </w:r>
      <w:proofErr w:type="spellEnd"/>
      <w:r w:rsidRPr="001911C5">
        <w:rPr>
          <w:rFonts w:ascii="Century Gothic" w:eastAsia="Century Gothic" w:hAnsi="Century Gothic" w:cs="Century Gothic"/>
          <w:sz w:val="19"/>
          <w:szCs w:val="19"/>
        </w:rPr>
        <w:t xml:space="preserve"> (XML Advanced Electronic Signature): </w:t>
      </w:r>
      <w:proofErr w:type="spellStart"/>
      <w:r w:rsidRPr="001911C5">
        <w:rPr>
          <w:rFonts w:ascii="Century Gothic" w:eastAsia="Century Gothic" w:hAnsi="Century Gothic" w:cs="Century Gothic"/>
          <w:sz w:val="19"/>
          <w:szCs w:val="19"/>
        </w:rPr>
        <w:t>JAdES</w:t>
      </w:r>
      <w:proofErr w:type="spellEnd"/>
      <w:r w:rsidRPr="001911C5">
        <w:rPr>
          <w:rFonts w:ascii="Century Gothic" w:eastAsia="Century Gothic" w:hAnsi="Century Gothic" w:cs="Century Gothic"/>
          <w:sz w:val="19"/>
          <w:szCs w:val="19"/>
        </w:rPr>
        <w:t xml:space="preserve"> and </w:t>
      </w:r>
      <w:proofErr w:type="spellStart"/>
      <w:r w:rsidRPr="001911C5">
        <w:rPr>
          <w:rFonts w:ascii="Century Gothic" w:eastAsia="Century Gothic" w:hAnsi="Century Gothic" w:cs="Century Gothic"/>
          <w:sz w:val="19"/>
          <w:szCs w:val="19"/>
        </w:rPr>
        <w:t>XAdES</w:t>
      </w:r>
      <w:proofErr w:type="spellEnd"/>
      <w:r w:rsidRPr="001911C5">
        <w:rPr>
          <w:rFonts w:ascii="Century Gothic" w:eastAsia="Century Gothic" w:hAnsi="Century Gothic" w:cs="Century Gothic"/>
          <w:sz w:val="19"/>
          <w:szCs w:val="19"/>
        </w:rPr>
        <w:t xml:space="preserve"> are two digital signature formats that provide data integrity and authenticity when exchanging information electronically. These signature formats are used to sign the data being transferred, ensuring that the data remains unchanged and originated from the intended sender.</w:t>
      </w:r>
    </w:p>
    <w:p w14:paraId="6D6E7F98" w14:textId="77777777" w:rsidR="006D66E9" w:rsidRPr="001911C5" w:rsidRDefault="006D66E9" w:rsidP="00871EE8">
      <w:pPr>
        <w:pStyle w:val="ListParagraph"/>
        <w:numPr>
          <w:ilvl w:val="1"/>
          <w:numId w:val="44"/>
        </w:numPr>
        <w:spacing w:beforeLines="60" w:before="144" w:afterLines="60" w:after="144" w:line="240" w:lineRule="auto"/>
        <w:contextualSpacing w:val="0"/>
        <w:rPr>
          <w:rFonts w:ascii="Century Gothic" w:eastAsia="Century Gothic" w:hAnsi="Century Gothic" w:cs="Century Gothic"/>
          <w:sz w:val="19"/>
          <w:szCs w:val="19"/>
        </w:rPr>
      </w:pPr>
      <w:proofErr w:type="spellStart"/>
      <w:r w:rsidRPr="001911C5">
        <w:rPr>
          <w:rFonts w:ascii="Century Gothic" w:eastAsia="Century Gothic" w:hAnsi="Century Gothic" w:cs="Century Gothic"/>
          <w:sz w:val="19"/>
          <w:szCs w:val="19"/>
        </w:rPr>
        <w:t>JAdES</w:t>
      </w:r>
      <w:proofErr w:type="spellEnd"/>
      <w:r w:rsidRPr="001911C5">
        <w:rPr>
          <w:rFonts w:ascii="Century Gothic" w:eastAsia="Century Gothic" w:hAnsi="Century Gothic" w:cs="Century Gothic"/>
          <w:sz w:val="19"/>
          <w:szCs w:val="19"/>
        </w:rPr>
        <w:t xml:space="preserve">: JSON Advanced Electronic Signature uses the JSON (JavaScript Object Notation) data format for representing the electronic signature. JSON is a lightweight and widely used data interchange format. </w:t>
      </w:r>
      <w:proofErr w:type="spellStart"/>
      <w:r w:rsidRPr="001911C5">
        <w:rPr>
          <w:rFonts w:ascii="Century Gothic" w:eastAsia="Century Gothic" w:hAnsi="Century Gothic" w:cs="Century Gothic"/>
          <w:sz w:val="19"/>
          <w:szCs w:val="19"/>
        </w:rPr>
        <w:t>JAdES</w:t>
      </w:r>
      <w:proofErr w:type="spellEnd"/>
      <w:r w:rsidRPr="001911C5">
        <w:rPr>
          <w:rFonts w:ascii="Century Gothic" w:eastAsia="Century Gothic" w:hAnsi="Century Gothic" w:cs="Century Gothic"/>
          <w:sz w:val="19"/>
          <w:szCs w:val="19"/>
        </w:rPr>
        <w:t xml:space="preserve"> allows the signature to be attached to JSON data, providing secure authentication and verification of the data's origin and integrity.</w:t>
      </w:r>
    </w:p>
    <w:p w14:paraId="4321EDB8" w14:textId="77777777" w:rsidR="006D66E9" w:rsidRPr="001911C5" w:rsidRDefault="006D66E9" w:rsidP="00871EE8">
      <w:pPr>
        <w:pStyle w:val="ListParagraph"/>
        <w:numPr>
          <w:ilvl w:val="1"/>
          <w:numId w:val="44"/>
        </w:numPr>
        <w:spacing w:beforeLines="60" w:before="144" w:afterLines="60" w:after="144" w:line="240" w:lineRule="auto"/>
        <w:contextualSpacing w:val="0"/>
        <w:rPr>
          <w:rFonts w:ascii="Century Gothic" w:eastAsia="Century Gothic" w:hAnsi="Century Gothic" w:cs="Century Gothic"/>
          <w:sz w:val="19"/>
          <w:szCs w:val="19"/>
        </w:rPr>
      </w:pPr>
      <w:proofErr w:type="spellStart"/>
      <w:r w:rsidRPr="001911C5">
        <w:rPr>
          <w:rFonts w:ascii="Century Gothic" w:eastAsia="Century Gothic" w:hAnsi="Century Gothic" w:cs="Century Gothic"/>
          <w:sz w:val="19"/>
          <w:szCs w:val="19"/>
        </w:rPr>
        <w:t>XAdES</w:t>
      </w:r>
      <w:proofErr w:type="spellEnd"/>
      <w:r w:rsidRPr="001911C5">
        <w:rPr>
          <w:rFonts w:ascii="Century Gothic" w:eastAsia="Century Gothic" w:hAnsi="Century Gothic" w:cs="Century Gothic"/>
          <w:sz w:val="19"/>
          <w:szCs w:val="19"/>
        </w:rPr>
        <w:t>: XML Advanced Electronic Signature uses the XML (</w:t>
      </w:r>
      <w:proofErr w:type="spellStart"/>
      <w:r w:rsidRPr="001911C5">
        <w:rPr>
          <w:rFonts w:ascii="Century Gothic" w:eastAsia="Century Gothic" w:hAnsi="Century Gothic" w:cs="Century Gothic"/>
          <w:sz w:val="19"/>
          <w:szCs w:val="19"/>
        </w:rPr>
        <w:t>eXtensible</w:t>
      </w:r>
      <w:proofErr w:type="spellEnd"/>
      <w:r w:rsidRPr="001911C5">
        <w:rPr>
          <w:rFonts w:ascii="Century Gothic" w:eastAsia="Century Gothic" w:hAnsi="Century Gothic" w:cs="Century Gothic"/>
          <w:sz w:val="19"/>
          <w:szCs w:val="19"/>
        </w:rPr>
        <w:t xml:space="preserve"> Markup Language) data format for representing the electronic signature. XML is a popular markup language used for data representation and exchange. </w:t>
      </w:r>
      <w:proofErr w:type="spellStart"/>
      <w:r w:rsidRPr="001911C5">
        <w:rPr>
          <w:rFonts w:ascii="Century Gothic" w:eastAsia="Century Gothic" w:hAnsi="Century Gothic" w:cs="Century Gothic"/>
          <w:sz w:val="19"/>
          <w:szCs w:val="19"/>
        </w:rPr>
        <w:t>XAdES</w:t>
      </w:r>
      <w:proofErr w:type="spellEnd"/>
      <w:r w:rsidRPr="001911C5">
        <w:rPr>
          <w:rFonts w:ascii="Century Gothic" w:eastAsia="Century Gothic" w:hAnsi="Century Gothic" w:cs="Century Gothic"/>
          <w:sz w:val="19"/>
          <w:szCs w:val="19"/>
        </w:rPr>
        <w:t xml:space="preserve"> allows the signature to be attached to XML data, ensuring the security and reliability of the data during transmission.</w:t>
      </w:r>
    </w:p>
    <w:p w14:paraId="07A97D4B" w14:textId="77777777" w:rsidR="006D66E9" w:rsidRPr="001911C5" w:rsidRDefault="006D66E9" w:rsidP="00871EE8">
      <w:pPr>
        <w:pStyle w:val="ListParagraph"/>
        <w:numPr>
          <w:ilvl w:val="1"/>
          <w:numId w:val="44"/>
        </w:numPr>
        <w:spacing w:beforeLines="60" w:before="144" w:afterLines="60" w:after="144" w:line="240" w:lineRule="auto"/>
        <w:contextualSpacing w:val="0"/>
        <w:rPr>
          <w:rFonts w:ascii="Century Gothic" w:eastAsia="Century Gothic" w:hAnsi="Century Gothic" w:cs="Century Gothic"/>
          <w:sz w:val="19"/>
          <w:szCs w:val="19"/>
        </w:rPr>
      </w:pPr>
      <w:r w:rsidRPr="001911C5">
        <w:rPr>
          <w:rFonts w:ascii="Century Gothic" w:eastAsia="Century Gothic" w:hAnsi="Century Gothic" w:cs="Century Gothic"/>
          <w:sz w:val="19"/>
          <w:szCs w:val="19"/>
        </w:rPr>
        <w:t xml:space="preserve">By using clear text </w:t>
      </w:r>
      <w:proofErr w:type="spellStart"/>
      <w:r w:rsidRPr="001911C5">
        <w:rPr>
          <w:rFonts w:ascii="Century Gothic" w:eastAsia="Century Gothic" w:hAnsi="Century Gothic" w:cs="Century Gothic"/>
          <w:sz w:val="19"/>
          <w:szCs w:val="19"/>
        </w:rPr>
        <w:t>JAdES</w:t>
      </w:r>
      <w:proofErr w:type="spellEnd"/>
      <w:r w:rsidRPr="001911C5">
        <w:rPr>
          <w:rFonts w:ascii="Century Gothic" w:eastAsia="Century Gothic" w:hAnsi="Century Gothic" w:cs="Century Gothic"/>
          <w:sz w:val="19"/>
          <w:szCs w:val="19"/>
        </w:rPr>
        <w:t xml:space="preserve"> or </w:t>
      </w:r>
      <w:proofErr w:type="spellStart"/>
      <w:r w:rsidRPr="001911C5">
        <w:rPr>
          <w:rFonts w:ascii="Century Gothic" w:eastAsia="Century Gothic" w:hAnsi="Century Gothic" w:cs="Century Gothic"/>
          <w:sz w:val="19"/>
          <w:szCs w:val="19"/>
        </w:rPr>
        <w:t>XAdES</w:t>
      </w:r>
      <w:proofErr w:type="spellEnd"/>
      <w:r w:rsidRPr="001911C5">
        <w:rPr>
          <w:rFonts w:ascii="Century Gothic" w:eastAsia="Century Gothic" w:hAnsi="Century Gothic" w:cs="Century Gothic"/>
          <w:sz w:val="19"/>
          <w:szCs w:val="19"/>
        </w:rPr>
        <w:t xml:space="preserve"> signatures, the data exchanged in smart metering or energy management systems can be securely signed and verified, protecting against data tampering or unauthorized access. This ensures the integrity and authenticity of the data, providing a trusted and reliable communication framework for all parties involved in the energy supply chain.</w:t>
      </w:r>
    </w:p>
    <w:p w14:paraId="5FC1B398" w14:textId="3F990769" w:rsidR="006D66E9" w:rsidRPr="001911C5" w:rsidRDefault="008224B2" w:rsidP="00871EE8">
      <w:pPr>
        <w:pStyle w:val="ListParagraph"/>
        <w:numPr>
          <w:ilvl w:val="1"/>
          <w:numId w:val="44"/>
        </w:numPr>
        <w:spacing w:beforeLines="60" w:before="144" w:afterLines="60" w:after="144" w:line="240" w:lineRule="auto"/>
        <w:contextualSpacing w:val="0"/>
        <w:rPr>
          <w:rFonts w:ascii="Century Gothic" w:eastAsia="Century Gothic" w:hAnsi="Century Gothic" w:cs="Century Gothic"/>
          <w:sz w:val="19"/>
          <w:szCs w:val="19"/>
        </w:rPr>
      </w:pPr>
      <w:r w:rsidRPr="001911C5">
        <w:rPr>
          <w:rFonts w:ascii="Century Gothic" w:eastAsia="Century Gothic" w:hAnsi="Century Gothic" w:cs="Century Gothic"/>
          <w:sz w:val="19"/>
          <w:szCs w:val="19"/>
        </w:rPr>
        <w:t>The security key exchange should be done for each separate contract to ensure integrity.</w:t>
      </w:r>
    </w:p>
    <w:p w14:paraId="619F62ED" w14:textId="3BA7CF78" w:rsidR="00EC58DD" w:rsidRPr="00E55368" w:rsidRDefault="00EC58DD" w:rsidP="00EC58DD">
      <w:pPr>
        <w:pStyle w:val="Heading1"/>
      </w:pPr>
      <w:bookmarkStart w:id="25" w:name="_Toc145484197"/>
      <w:r>
        <w:t>T</w:t>
      </w:r>
      <w:r w:rsidRPr="00E55368">
        <w:t>ariffs</w:t>
      </w:r>
      <w:r w:rsidR="0090198D">
        <w:t>, Charges</w:t>
      </w:r>
      <w:r w:rsidRPr="00E55368">
        <w:t xml:space="preserve"> and </w:t>
      </w:r>
      <w:r>
        <w:t>B</w:t>
      </w:r>
      <w:r w:rsidRPr="00E55368">
        <w:t>illing</w:t>
      </w:r>
      <w:bookmarkEnd w:id="25"/>
    </w:p>
    <w:p w14:paraId="517E9756" w14:textId="77777777" w:rsidR="003B5A1C" w:rsidRPr="00CB7974" w:rsidRDefault="003B5A1C" w:rsidP="00877B3A">
      <w:pPr>
        <w:shd w:val="clear" w:color="auto" w:fill="F2F2F2" w:themeFill="background1" w:themeFillShade="F2"/>
        <w:spacing w:before="120" w:line="240" w:lineRule="auto"/>
        <w:rPr>
          <w:rFonts w:ascii="Century Gothic" w:hAnsi="Century Gothic"/>
          <w:b/>
          <w:bCs/>
          <w:i/>
          <w:iCs/>
          <w:u w:val="single"/>
        </w:rPr>
      </w:pPr>
      <w:r w:rsidRPr="00493EF2">
        <w:rPr>
          <w:rFonts w:ascii="Segoe UI Emoji" w:hAnsi="Segoe UI Emoji" w:cs="Segoe UI Emoji"/>
        </w:rPr>
        <w:t>🔍</w:t>
      </w:r>
      <w:r w:rsidRPr="006D455C">
        <w:rPr>
          <w:rFonts w:ascii="Century Gothic" w:hAnsi="Century Gothic"/>
          <w:b/>
          <w:bCs/>
          <w:u w:val="single"/>
        </w:rPr>
        <w:t xml:space="preserve"> </w:t>
      </w:r>
      <w:r w:rsidRPr="00CB7974">
        <w:rPr>
          <w:rFonts w:ascii="Century Gothic" w:hAnsi="Century Gothic"/>
          <w:b/>
          <w:bCs/>
          <w:i/>
          <w:iCs/>
          <w:u w:val="single"/>
        </w:rPr>
        <w:t xml:space="preserve">Explanatory notes: </w:t>
      </w:r>
    </w:p>
    <w:p w14:paraId="3847130B" w14:textId="775D584C" w:rsidR="00E42A5B" w:rsidRPr="00CB7974" w:rsidRDefault="00E42A5B" w:rsidP="0097609F">
      <w:pPr>
        <w:shd w:val="clear" w:color="auto" w:fill="F2F2F2" w:themeFill="background1" w:themeFillShade="F2"/>
        <w:spacing w:before="120" w:line="240" w:lineRule="auto"/>
        <w:rPr>
          <w:rFonts w:ascii="Century Gothic" w:hAnsi="Century Gothic" w:cs="Segoe UI Emoji"/>
          <w:i/>
          <w:iCs/>
        </w:rPr>
      </w:pPr>
      <w:r w:rsidRPr="00CB7974">
        <w:rPr>
          <w:rFonts w:ascii="Century Gothic" w:hAnsi="Century Gothic" w:cs="Segoe UI Emoji"/>
          <w:i/>
          <w:iCs/>
        </w:rPr>
        <w:t>The section on Tariffs and Billing provides guidance on the establishment of tariffs and billing processes in the context of third-party wheeling</w:t>
      </w:r>
      <w:r w:rsidR="0097609F">
        <w:rPr>
          <w:rFonts w:ascii="Century Gothic" w:hAnsi="Century Gothic" w:cs="Segoe UI Emoji"/>
          <w:i/>
          <w:iCs/>
        </w:rPr>
        <w:t xml:space="preserve"> and includes </w:t>
      </w:r>
      <w:r w:rsidR="0097609F" w:rsidRPr="0097609F">
        <w:rPr>
          <w:rFonts w:ascii="Century Gothic" w:hAnsi="Century Gothic" w:cs="Segoe UI Emoji"/>
          <w:i/>
          <w:iCs/>
        </w:rPr>
        <w:t>proposals for standardizing the calculation of wheeling and network charges (as opposed to individual point-to-point wheeling charges</w:t>
      </w:r>
      <w:r w:rsidR="00986D62">
        <w:rPr>
          <w:rFonts w:ascii="Century Gothic" w:hAnsi="Century Gothic" w:cs="Segoe UI Emoji"/>
          <w:i/>
          <w:iCs/>
        </w:rPr>
        <w:t>).</w:t>
      </w:r>
      <w:r w:rsidRPr="00CB7974">
        <w:rPr>
          <w:rFonts w:ascii="Century Gothic" w:hAnsi="Century Gothic" w:cs="Segoe UI Emoji"/>
          <w:i/>
          <w:iCs/>
        </w:rPr>
        <w:t xml:space="preserve"> </w:t>
      </w:r>
      <w:r w:rsidR="00A56758">
        <w:rPr>
          <w:rFonts w:ascii="Century Gothic" w:hAnsi="Century Gothic" w:cs="Segoe UI Emoji"/>
          <w:i/>
          <w:iCs/>
        </w:rPr>
        <w:t xml:space="preserve">The Municipality </w:t>
      </w:r>
      <w:r w:rsidRPr="00CB7974">
        <w:rPr>
          <w:rFonts w:ascii="Century Gothic" w:hAnsi="Century Gothic" w:cs="Segoe UI Emoji"/>
          <w:i/>
          <w:iCs/>
        </w:rPr>
        <w:t>play a crucial role in ensuring the compliance of tariffs and billing practices with relevant regulations, codes, and standards. It is worth noting the following considerations:</w:t>
      </w:r>
    </w:p>
    <w:p w14:paraId="6C706DCA" w14:textId="57F41AA9" w:rsidR="00E42A5B" w:rsidRPr="00CB7974" w:rsidRDefault="00E42A5B" w:rsidP="00871EE8">
      <w:pPr>
        <w:pStyle w:val="ListParagraph"/>
        <w:numPr>
          <w:ilvl w:val="0"/>
          <w:numId w:val="29"/>
        </w:numPr>
        <w:shd w:val="clear" w:color="auto" w:fill="F2F2F2" w:themeFill="background1" w:themeFillShade="F2"/>
        <w:spacing w:before="120" w:line="240" w:lineRule="auto"/>
        <w:contextualSpacing w:val="0"/>
        <w:rPr>
          <w:rFonts w:ascii="Century Gothic" w:hAnsi="Century Gothic" w:cs="Segoe UI Emoji"/>
          <w:i/>
          <w:iCs/>
        </w:rPr>
      </w:pPr>
      <w:r w:rsidRPr="00CB7974">
        <w:rPr>
          <w:rFonts w:ascii="Century Gothic" w:hAnsi="Century Gothic" w:cs="Segoe UI Emoji"/>
          <w:b/>
          <w:bCs/>
          <w:i/>
          <w:iCs/>
        </w:rPr>
        <w:t>Compliance with Regulations and Codes:</w:t>
      </w:r>
      <w:r w:rsidRPr="00CB7974">
        <w:rPr>
          <w:rFonts w:ascii="Century Gothic" w:hAnsi="Century Gothic" w:cs="Segoe UI Emoji"/>
          <w:i/>
          <w:iCs/>
        </w:rPr>
        <w:t xml:space="preserve"> </w:t>
      </w:r>
      <w:r w:rsidR="00A56758">
        <w:rPr>
          <w:rFonts w:ascii="Century Gothic" w:hAnsi="Century Gothic" w:cs="Segoe UI Emoji"/>
          <w:i/>
          <w:iCs/>
        </w:rPr>
        <w:t xml:space="preserve">The Municipality </w:t>
      </w:r>
      <w:r w:rsidRPr="00CB7974">
        <w:rPr>
          <w:rFonts w:ascii="Century Gothic" w:hAnsi="Century Gothic" w:cs="Segoe UI Emoji"/>
          <w:i/>
          <w:iCs/>
        </w:rPr>
        <w:t xml:space="preserve">must ensure that the tariffs and billing practices align with all applicable regulations, codes, and standards. This includes </w:t>
      </w:r>
      <w:r w:rsidRPr="00CB7974">
        <w:rPr>
          <w:rFonts w:ascii="Century Gothic" w:hAnsi="Century Gothic" w:cs="Segoe UI Emoji"/>
          <w:i/>
          <w:iCs/>
        </w:rPr>
        <w:lastRenderedPageBreak/>
        <w:t>compliance with the Electricity Regulation Act (ERA), any relevant third-party wheeling rules (when published), and other industry-specific guidelines. It is important to stay updated on any changes or updates to these regulations and codes to ensure ongoing compliance.</w:t>
      </w:r>
      <w:r w:rsidR="00957A91" w:rsidRPr="00CB7974">
        <w:rPr>
          <w:rFonts w:ascii="Century Gothic" w:hAnsi="Century Gothic" w:cs="Segoe UI Emoji"/>
          <w:i/>
          <w:iCs/>
        </w:rPr>
        <w:t xml:space="preserve"> Below are useful links</w:t>
      </w:r>
    </w:p>
    <w:p w14:paraId="73233BBD" w14:textId="0AF66DC2" w:rsidR="001F7FC3" w:rsidRPr="00BE54FC" w:rsidRDefault="00000000" w:rsidP="00BE54FC">
      <w:pPr>
        <w:pStyle w:val="ListParagraph"/>
        <w:numPr>
          <w:ilvl w:val="0"/>
          <w:numId w:val="29"/>
        </w:numPr>
        <w:shd w:val="clear" w:color="auto" w:fill="F2F2F2" w:themeFill="background1" w:themeFillShade="F2"/>
        <w:spacing w:before="120" w:line="240" w:lineRule="auto"/>
        <w:rPr>
          <w:rStyle w:val="Hyperlink"/>
          <w:color w:val="auto"/>
          <w:u w:val="none"/>
        </w:rPr>
      </w:pPr>
      <w:hyperlink r:id="rId35" w:history="1">
        <w:r w:rsidR="00086594" w:rsidRPr="00BE54FC">
          <w:rPr>
            <w:rStyle w:val="Hyperlink"/>
            <w:rFonts w:ascii="Century Gothic" w:hAnsi="Century Gothic"/>
            <w:b/>
            <w:bCs/>
            <w:i/>
            <w:iCs/>
          </w:rPr>
          <w:t>https://www.energy.gov.za/files/policies/ELECTRICITY%20REGULATION%20ACT%204%20OF%202006.pdf</w:t>
        </w:r>
      </w:hyperlink>
    </w:p>
    <w:p w14:paraId="2A90D422" w14:textId="29E1533C" w:rsidR="00297D93" w:rsidRPr="00BE54FC" w:rsidRDefault="00000000" w:rsidP="00BE54FC">
      <w:pPr>
        <w:pStyle w:val="ListParagraph"/>
        <w:numPr>
          <w:ilvl w:val="0"/>
          <w:numId w:val="29"/>
        </w:numPr>
        <w:shd w:val="clear" w:color="auto" w:fill="F2F2F2" w:themeFill="background1" w:themeFillShade="F2"/>
        <w:spacing w:before="120" w:line="240" w:lineRule="auto"/>
        <w:rPr>
          <w:rFonts w:ascii="Century Gothic" w:hAnsi="Century Gothic"/>
        </w:rPr>
      </w:pPr>
      <w:hyperlink r:id="rId36" w:history="1">
        <w:r w:rsidR="00995A89" w:rsidRPr="00BE54FC">
          <w:rPr>
            <w:rStyle w:val="Hyperlink"/>
            <w:rFonts w:ascii="Century Gothic" w:hAnsi="Century Gothic"/>
          </w:rPr>
          <w:t>www.energy.gov.za/files/policies/Electricity%20Pricing%20Policy%2019Dec2008.pdf</w:t>
        </w:r>
      </w:hyperlink>
    </w:p>
    <w:p w14:paraId="1F5D080F" w14:textId="50F1CE10" w:rsidR="0081103B" w:rsidRPr="00BE54FC" w:rsidRDefault="00000000" w:rsidP="00BE54FC">
      <w:pPr>
        <w:pStyle w:val="ListParagraph"/>
        <w:numPr>
          <w:ilvl w:val="0"/>
          <w:numId w:val="29"/>
        </w:numPr>
        <w:shd w:val="clear" w:color="auto" w:fill="F2F2F2" w:themeFill="background1" w:themeFillShade="F2"/>
        <w:spacing w:before="120" w:line="240" w:lineRule="auto"/>
        <w:rPr>
          <w:rFonts w:ascii="Century Gothic" w:hAnsi="Century Gothic" w:cs="Segoe UI Emoji"/>
          <w:b/>
          <w:bCs/>
          <w:i/>
          <w:iCs/>
        </w:rPr>
      </w:pPr>
      <w:hyperlink r:id="rId37" w:history="1">
        <w:r w:rsidR="0081103B">
          <w:rPr>
            <w:rStyle w:val="Hyperlink"/>
          </w:rPr>
          <w:t>https://www.nersa.org.za/wp-content/uploads/2022/01/RSA-Distribution-Tariff-Code-Vers-6.2.pdf</w:t>
        </w:r>
      </w:hyperlink>
    </w:p>
    <w:p w14:paraId="1CD76DDB" w14:textId="6681E7FD" w:rsidR="00A91F96" w:rsidRPr="00BE54FC" w:rsidRDefault="00000000" w:rsidP="00BE54FC">
      <w:pPr>
        <w:pStyle w:val="ListParagraph"/>
        <w:numPr>
          <w:ilvl w:val="0"/>
          <w:numId w:val="29"/>
        </w:numPr>
        <w:shd w:val="clear" w:color="auto" w:fill="F2F2F2" w:themeFill="background1" w:themeFillShade="F2"/>
        <w:spacing w:before="120" w:line="240" w:lineRule="auto"/>
        <w:rPr>
          <w:rStyle w:val="Hyperlink"/>
          <w:rFonts w:ascii="Century Gothic" w:hAnsi="Century Gothic" w:cs="Segoe UI Emoji"/>
          <w:b/>
          <w:bCs/>
          <w:i/>
          <w:iCs/>
          <w:color w:val="auto"/>
          <w:u w:val="none"/>
        </w:rPr>
      </w:pPr>
      <w:hyperlink r:id="rId38" w:history="1">
        <w:r w:rsidR="00A91F96" w:rsidRPr="00BE54FC">
          <w:rPr>
            <w:rStyle w:val="Hyperlink"/>
            <w:rFonts w:ascii="Century Gothic" w:hAnsi="Century Gothic" w:cs="Segoe UI Emoji"/>
            <w:b/>
            <w:bCs/>
            <w:i/>
            <w:iCs/>
          </w:rPr>
          <w:t>https://www.eskom.co.za/distribution/wp-content/uploads/2022/03/RSA-Distribution-Code-Definitions-Ver-6.2.pdf</w:t>
        </w:r>
      </w:hyperlink>
    </w:p>
    <w:p w14:paraId="6173AC6F" w14:textId="67B875FE" w:rsidR="00A056E7" w:rsidRDefault="00000000" w:rsidP="00BE54FC">
      <w:pPr>
        <w:pStyle w:val="ListParagraph"/>
        <w:numPr>
          <w:ilvl w:val="0"/>
          <w:numId w:val="29"/>
        </w:numPr>
        <w:shd w:val="clear" w:color="auto" w:fill="F2F2F2" w:themeFill="background1" w:themeFillShade="F2"/>
        <w:spacing w:before="120" w:line="240" w:lineRule="auto"/>
        <w:rPr>
          <w:rStyle w:val="Hyperlink"/>
          <w:rFonts w:ascii="Century Gothic" w:hAnsi="Century Gothic" w:cs="Segoe UI Emoji"/>
          <w:b/>
          <w:bCs/>
          <w:i/>
          <w:iCs/>
        </w:rPr>
      </w:pPr>
      <w:hyperlink r:id="rId39" w:history="1">
        <w:r w:rsidR="00917DCE" w:rsidRPr="00BE54FC">
          <w:rPr>
            <w:rStyle w:val="Hyperlink"/>
            <w:rFonts w:ascii="Century Gothic" w:hAnsi="Century Gothic" w:cs="Segoe UI Emoji"/>
            <w:b/>
            <w:bCs/>
            <w:i/>
            <w:iCs/>
          </w:rPr>
          <w:t>https://www.cityenergy.org.za/uploads/resource_451.pdf</w:t>
        </w:r>
      </w:hyperlink>
    </w:p>
    <w:p w14:paraId="096D77A2" w14:textId="77777777" w:rsidR="00BE54FC" w:rsidRPr="00BE54FC" w:rsidRDefault="00BE54FC" w:rsidP="00BE54FC">
      <w:pPr>
        <w:shd w:val="clear" w:color="auto" w:fill="F2F2F2" w:themeFill="background1" w:themeFillShade="F2"/>
        <w:spacing w:before="120" w:line="240" w:lineRule="auto"/>
        <w:rPr>
          <w:rFonts w:ascii="Century Gothic" w:hAnsi="Century Gothic" w:cs="Segoe UI Emoji"/>
          <w:b/>
          <w:bCs/>
          <w:i/>
          <w:iCs/>
          <w:color w:val="0000FF" w:themeColor="hyperlink"/>
          <w:u w:val="single"/>
        </w:rPr>
      </w:pPr>
    </w:p>
    <w:p w14:paraId="5DBB3388" w14:textId="51AA0DDE" w:rsidR="00E42A5B" w:rsidRPr="00CB7974" w:rsidRDefault="00E42A5B" w:rsidP="00871EE8">
      <w:pPr>
        <w:pStyle w:val="ListParagraph"/>
        <w:numPr>
          <w:ilvl w:val="0"/>
          <w:numId w:val="29"/>
        </w:numPr>
        <w:shd w:val="clear" w:color="auto" w:fill="F2F2F2" w:themeFill="background1" w:themeFillShade="F2"/>
        <w:spacing w:before="120" w:line="240" w:lineRule="auto"/>
        <w:contextualSpacing w:val="0"/>
        <w:rPr>
          <w:rFonts w:ascii="Century Gothic" w:hAnsi="Century Gothic" w:cs="Segoe UI Emoji"/>
          <w:i/>
          <w:iCs/>
        </w:rPr>
      </w:pPr>
      <w:r w:rsidRPr="00CB7974">
        <w:rPr>
          <w:rFonts w:ascii="Century Gothic" w:hAnsi="Century Gothic" w:cs="Segoe UI Emoji"/>
          <w:b/>
          <w:bCs/>
          <w:i/>
          <w:iCs/>
        </w:rPr>
        <w:t>NERSA Approval:</w:t>
      </w:r>
      <w:r w:rsidRPr="00CB7974">
        <w:rPr>
          <w:rFonts w:ascii="Century Gothic" w:hAnsi="Century Gothic" w:cs="Segoe UI Emoji"/>
          <w:i/>
          <w:iCs/>
        </w:rPr>
        <w:t xml:space="preserve"> In some cases, </w:t>
      </w:r>
      <w:r w:rsidR="00A56758">
        <w:rPr>
          <w:rFonts w:ascii="Century Gothic" w:hAnsi="Century Gothic" w:cs="Segoe UI Emoji"/>
          <w:i/>
          <w:iCs/>
        </w:rPr>
        <w:t xml:space="preserve">The Municipality </w:t>
      </w:r>
      <w:r w:rsidRPr="00CB7974">
        <w:rPr>
          <w:rFonts w:ascii="Century Gothic" w:hAnsi="Century Gothic" w:cs="Segoe UI Emoji"/>
          <w:i/>
          <w:iCs/>
        </w:rPr>
        <w:t>may be required to obtain approval from the National Energy Regulator of South Africa (NERSA) for the establishment of tariffs or any significant changes to existing tariffs. It is essential to understand the regulatory requirements and processes for tariff approval and engage with NERSA when necessary.</w:t>
      </w:r>
    </w:p>
    <w:p w14:paraId="3FF40C65" w14:textId="7AB66612" w:rsidR="00E42A5B" w:rsidRPr="00CB7974" w:rsidRDefault="00E42A5B" w:rsidP="00871EE8">
      <w:pPr>
        <w:pStyle w:val="ListParagraph"/>
        <w:numPr>
          <w:ilvl w:val="0"/>
          <w:numId w:val="29"/>
        </w:numPr>
        <w:shd w:val="clear" w:color="auto" w:fill="F2F2F2" w:themeFill="background1" w:themeFillShade="F2"/>
        <w:spacing w:before="120" w:line="240" w:lineRule="auto"/>
        <w:contextualSpacing w:val="0"/>
        <w:rPr>
          <w:rFonts w:ascii="Century Gothic" w:hAnsi="Century Gothic" w:cs="Segoe UI Emoji"/>
          <w:i/>
          <w:iCs/>
        </w:rPr>
      </w:pPr>
      <w:r w:rsidRPr="00CB7974">
        <w:rPr>
          <w:rFonts w:ascii="Century Gothic" w:hAnsi="Century Gothic" w:cs="Segoe UI Emoji"/>
          <w:b/>
          <w:bCs/>
          <w:i/>
          <w:iCs/>
        </w:rPr>
        <w:t xml:space="preserve">Compliance with </w:t>
      </w:r>
      <w:proofErr w:type="spellStart"/>
      <w:r w:rsidRPr="00CB7974">
        <w:rPr>
          <w:rFonts w:ascii="Century Gothic" w:hAnsi="Century Gothic" w:cs="Segoe UI Emoji"/>
          <w:b/>
          <w:bCs/>
          <w:i/>
          <w:iCs/>
        </w:rPr>
        <w:t>mSCOA</w:t>
      </w:r>
      <w:proofErr w:type="spellEnd"/>
      <w:r w:rsidRPr="00CB7974">
        <w:rPr>
          <w:rFonts w:ascii="Century Gothic" w:hAnsi="Century Gothic" w:cs="Segoe UI Emoji"/>
          <w:i/>
          <w:iCs/>
        </w:rPr>
        <w:t xml:space="preserve">: </w:t>
      </w:r>
      <w:r w:rsidR="00A56758">
        <w:rPr>
          <w:rFonts w:ascii="Century Gothic" w:hAnsi="Century Gothic" w:cs="Segoe UI Emoji"/>
          <w:i/>
          <w:iCs/>
        </w:rPr>
        <w:t xml:space="preserve">The Municipality </w:t>
      </w:r>
      <w:r w:rsidRPr="00CB7974">
        <w:rPr>
          <w:rFonts w:ascii="Century Gothic" w:hAnsi="Century Gothic" w:cs="Segoe UI Emoji"/>
          <w:i/>
          <w:iCs/>
        </w:rPr>
        <w:t>must ensure compliance with the Municipal Standard Chart of Accounts (</w:t>
      </w:r>
      <w:proofErr w:type="spellStart"/>
      <w:r w:rsidRPr="00CB7974">
        <w:rPr>
          <w:rFonts w:ascii="Century Gothic" w:hAnsi="Century Gothic" w:cs="Segoe UI Emoji"/>
          <w:i/>
          <w:iCs/>
        </w:rPr>
        <w:t>mSCOA</w:t>
      </w:r>
      <w:proofErr w:type="spellEnd"/>
      <w:r w:rsidRPr="00CB7974">
        <w:rPr>
          <w:rFonts w:ascii="Century Gothic" w:hAnsi="Century Gothic" w:cs="Segoe UI Emoji"/>
          <w:i/>
          <w:iCs/>
        </w:rPr>
        <w:t xml:space="preserve">). </w:t>
      </w:r>
      <w:r w:rsidR="009176D9">
        <w:rPr>
          <w:rFonts w:ascii="Century Gothic" w:hAnsi="Century Gothic" w:cs="Segoe UI Emoji"/>
          <w:i/>
          <w:iCs/>
        </w:rPr>
        <w:t>This</w:t>
      </w:r>
      <w:r w:rsidRPr="00CB7974">
        <w:rPr>
          <w:rFonts w:ascii="Century Gothic" w:hAnsi="Century Gothic" w:cs="Segoe UI Emoji"/>
          <w:i/>
          <w:iCs/>
        </w:rPr>
        <w:t xml:space="preserve"> provides a consistent and standardized framework for financial reporting and accountability. </w:t>
      </w:r>
      <w:r w:rsidR="00A56758">
        <w:rPr>
          <w:rFonts w:ascii="Century Gothic" w:hAnsi="Century Gothic" w:cs="Segoe UI Emoji"/>
          <w:i/>
          <w:iCs/>
        </w:rPr>
        <w:t xml:space="preserve">The Municipality </w:t>
      </w:r>
      <w:r w:rsidRPr="00CB7974">
        <w:rPr>
          <w:rFonts w:ascii="Century Gothic" w:hAnsi="Century Gothic" w:cs="Segoe UI Emoji"/>
          <w:i/>
          <w:iCs/>
        </w:rPr>
        <w:t xml:space="preserve">need to align the tariff and billing processes with the </w:t>
      </w:r>
      <w:proofErr w:type="spellStart"/>
      <w:r w:rsidRPr="00CB7974">
        <w:rPr>
          <w:rFonts w:ascii="Century Gothic" w:hAnsi="Century Gothic" w:cs="Segoe UI Emoji"/>
          <w:i/>
          <w:iCs/>
        </w:rPr>
        <w:t>mSCOA</w:t>
      </w:r>
      <w:proofErr w:type="spellEnd"/>
      <w:r w:rsidRPr="00CB7974">
        <w:rPr>
          <w:rFonts w:ascii="Century Gothic" w:hAnsi="Century Gothic" w:cs="Segoe UI Emoji"/>
          <w:i/>
          <w:iCs/>
        </w:rPr>
        <w:t xml:space="preserve"> guidelines to ensure accurate financial recording and reporting.</w:t>
      </w:r>
    </w:p>
    <w:p w14:paraId="70A9480B" w14:textId="60CFEA90" w:rsidR="00E42A5B" w:rsidRPr="00CB7974" w:rsidRDefault="00E42A5B" w:rsidP="00877B3A">
      <w:pPr>
        <w:shd w:val="clear" w:color="auto" w:fill="F2F2F2" w:themeFill="background1" w:themeFillShade="F2"/>
        <w:spacing w:before="120" w:line="240" w:lineRule="auto"/>
        <w:rPr>
          <w:rFonts w:ascii="Century Gothic" w:hAnsi="Century Gothic" w:cs="Segoe UI Emoji"/>
          <w:i/>
          <w:iCs/>
        </w:rPr>
      </w:pPr>
      <w:r w:rsidRPr="00CB7974">
        <w:rPr>
          <w:rFonts w:ascii="Century Gothic" w:hAnsi="Century Gothic" w:cs="Segoe UI Emoji"/>
          <w:i/>
          <w:iCs/>
        </w:rPr>
        <w:t xml:space="preserve">Key actions that </w:t>
      </w:r>
      <w:r w:rsidR="00A56758">
        <w:rPr>
          <w:rFonts w:ascii="Century Gothic" w:hAnsi="Century Gothic" w:cs="Segoe UI Emoji"/>
          <w:i/>
          <w:iCs/>
        </w:rPr>
        <w:t xml:space="preserve">The Municipality </w:t>
      </w:r>
      <w:r w:rsidRPr="00CB7974">
        <w:rPr>
          <w:rFonts w:ascii="Century Gothic" w:hAnsi="Century Gothic" w:cs="Segoe UI Emoji"/>
          <w:i/>
          <w:iCs/>
        </w:rPr>
        <w:t>need to undertake regarding tariffs and billing include:</w:t>
      </w:r>
    </w:p>
    <w:p w14:paraId="251CD274" w14:textId="0B3B2BCA" w:rsidR="0056531C" w:rsidRPr="00CB7974" w:rsidRDefault="0056531C" w:rsidP="00871EE8">
      <w:pPr>
        <w:pStyle w:val="ListParagraph"/>
        <w:numPr>
          <w:ilvl w:val="0"/>
          <w:numId w:val="30"/>
        </w:numPr>
        <w:shd w:val="clear" w:color="auto" w:fill="F2F2F2" w:themeFill="background1" w:themeFillShade="F2"/>
        <w:spacing w:before="120" w:line="240" w:lineRule="auto"/>
        <w:contextualSpacing w:val="0"/>
        <w:rPr>
          <w:rFonts w:ascii="Century Gothic" w:hAnsi="Century Gothic" w:cs="Segoe UI Emoji"/>
          <w:b/>
          <w:bCs/>
          <w:i/>
          <w:iCs/>
        </w:rPr>
      </w:pPr>
      <w:r w:rsidRPr="00CB7974">
        <w:rPr>
          <w:rFonts w:ascii="Century Gothic" w:hAnsi="Century Gothic" w:cs="Segoe UI Emoji"/>
          <w:b/>
          <w:bCs/>
          <w:i/>
          <w:iCs/>
        </w:rPr>
        <w:t>Cost of supply studies</w:t>
      </w:r>
      <w:r w:rsidR="003D289C" w:rsidRPr="00CB7974">
        <w:rPr>
          <w:rFonts w:ascii="Century Gothic" w:hAnsi="Century Gothic" w:cs="Segoe UI Emoji"/>
          <w:b/>
          <w:bCs/>
          <w:i/>
          <w:iCs/>
        </w:rPr>
        <w:t xml:space="preserve">: </w:t>
      </w:r>
      <w:r w:rsidR="003D289C" w:rsidRPr="00CB7974">
        <w:rPr>
          <w:rFonts w:ascii="Century Gothic" w:hAnsi="Century Gothic" w:cs="Segoe UI Emoji"/>
          <w:i/>
          <w:iCs/>
        </w:rPr>
        <w:t xml:space="preserve">Cost of supply studies refer to assessments conducted to determine the costs associated with providing electricity services within a municipality's distribution network. These studies aim to </w:t>
      </w:r>
      <w:r w:rsidR="00BB6891" w:rsidRPr="00CB7974">
        <w:rPr>
          <w:rFonts w:ascii="Century Gothic" w:hAnsi="Century Gothic" w:cs="Segoe UI Emoji"/>
          <w:i/>
          <w:iCs/>
        </w:rPr>
        <w:t>analyse</w:t>
      </w:r>
      <w:r w:rsidR="003D289C" w:rsidRPr="00CB7974">
        <w:rPr>
          <w:rFonts w:ascii="Century Gothic" w:hAnsi="Century Gothic" w:cs="Segoe UI Emoji"/>
          <w:i/>
          <w:iCs/>
        </w:rPr>
        <w:t xml:space="preserve"> and quantify the various components involved in the delivery of electricity, such as infrastructure maintenance, operational expenses, administrative costs, and investment in network upgrades.</w:t>
      </w:r>
      <w:r w:rsidR="00DB42CC">
        <w:rPr>
          <w:rFonts w:ascii="Century Gothic" w:hAnsi="Century Gothic" w:cs="Segoe UI Emoji"/>
          <w:i/>
          <w:iCs/>
        </w:rPr>
        <w:t xml:space="preserve"> </w:t>
      </w:r>
      <w:r w:rsidR="00A56758">
        <w:rPr>
          <w:rFonts w:ascii="Century Gothic" w:hAnsi="Century Gothic" w:cs="Segoe UI Emoji"/>
          <w:i/>
          <w:iCs/>
        </w:rPr>
        <w:t xml:space="preserve">The Municipality </w:t>
      </w:r>
      <w:r w:rsidR="003D289C" w:rsidRPr="00CB7974">
        <w:rPr>
          <w:rFonts w:ascii="Century Gothic" w:hAnsi="Century Gothic" w:cs="Segoe UI Emoji"/>
          <w:i/>
          <w:iCs/>
        </w:rPr>
        <w:t xml:space="preserve">play a critical role in conducting cost of supply studies and ensuring their accuracy and relevance. The following are key actions that </w:t>
      </w:r>
      <w:r w:rsidR="00A56758">
        <w:rPr>
          <w:rFonts w:ascii="Century Gothic" w:hAnsi="Century Gothic" w:cs="Segoe UI Emoji"/>
          <w:i/>
          <w:iCs/>
        </w:rPr>
        <w:t xml:space="preserve">The Municipality </w:t>
      </w:r>
      <w:r w:rsidR="003D289C" w:rsidRPr="00CB7974">
        <w:rPr>
          <w:rFonts w:ascii="Century Gothic" w:hAnsi="Century Gothic" w:cs="Segoe UI Emoji"/>
          <w:i/>
          <w:iCs/>
        </w:rPr>
        <w:t xml:space="preserve">need to undertake in this regard. For support on </w:t>
      </w:r>
      <w:r w:rsidR="001717AA" w:rsidRPr="00CB7974">
        <w:rPr>
          <w:rFonts w:ascii="Century Gothic" w:hAnsi="Century Gothic" w:cs="Segoe UI Emoji"/>
          <w:i/>
          <w:iCs/>
        </w:rPr>
        <w:t>please see link below</w:t>
      </w:r>
      <w:r w:rsidR="00D44010">
        <w:rPr>
          <w:rFonts w:ascii="Century Gothic" w:hAnsi="Century Gothic" w:cs="Segoe UI Emoji"/>
          <w:i/>
          <w:iCs/>
        </w:rPr>
        <w:t>:</w:t>
      </w:r>
    </w:p>
    <w:p w14:paraId="0C28709E" w14:textId="45E993F8" w:rsidR="001717AA" w:rsidRDefault="00000000" w:rsidP="00C46C90">
      <w:pPr>
        <w:pStyle w:val="ListParagraph"/>
        <w:shd w:val="clear" w:color="auto" w:fill="F2F2F2" w:themeFill="background1" w:themeFillShade="F2"/>
        <w:spacing w:before="120" w:line="240" w:lineRule="auto"/>
        <w:ind w:left="0" w:firstLine="360"/>
        <w:contextualSpacing w:val="0"/>
        <w:rPr>
          <w:rFonts w:ascii="Century Gothic" w:hAnsi="Century Gothic"/>
          <w:b/>
          <w:bCs/>
          <w:i/>
          <w:iCs/>
        </w:rPr>
      </w:pPr>
      <w:hyperlink r:id="rId40" w:history="1">
        <w:r w:rsidR="00E54313">
          <w:rPr>
            <w:rStyle w:val="Hyperlink"/>
          </w:rPr>
          <w:t>Cost of Supply Studies - Embedded Generation Resource Portal (sseg.org.za)</w:t>
        </w:r>
      </w:hyperlink>
    </w:p>
    <w:p w14:paraId="02F12116" w14:textId="519BADD3" w:rsidR="00C46C90" w:rsidRPr="00FB4F19" w:rsidRDefault="00C46C90" w:rsidP="00FB4F19">
      <w:pPr>
        <w:shd w:val="clear" w:color="auto" w:fill="F2F2F2" w:themeFill="background1" w:themeFillShade="F2"/>
        <w:spacing w:after="0" w:line="240" w:lineRule="auto"/>
        <w:rPr>
          <w:rFonts w:ascii="Century Gothic" w:hAnsi="Century Gothic" w:cs="Segoe UI Emoji"/>
          <w:i/>
          <w:iCs/>
        </w:rPr>
      </w:pPr>
      <w:r w:rsidRPr="00FB4F19">
        <w:rPr>
          <w:rFonts w:ascii="Century Gothic" w:hAnsi="Century Gothic" w:cs="Segoe UI Emoji"/>
          <w:i/>
          <w:iCs/>
        </w:rPr>
        <w:t>Tariffs must be driven by the municipality’s own cost of supply studies as the results are dependent on their customer’s profile (see above definition of cost of supply study and link for more information, also see SALGA and SEA websites). It is recommended that tariffs are unbundled for transparency and understanding purposes.</w:t>
      </w:r>
    </w:p>
    <w:p w14:paraId="14E96760" w14:textId="46420B5A" w:rsidR="00C46C90" w:rsidRDefault="00C46C90" w:rsidP="00D047E8">
      <w:pPr>
        <w:pStyle w:val="ListParagraph"/>
        <w:shd w:val="clear" w:color="auto" w:fill="F2F2F2" w:themeFill="background1" w:themeFillShade="F2"/>
        <w:spacing w:before="120" w:line="240" w:lineRule="auto"/>
        <w:ind w:left="0"/>
        <w:contextualSpacing w:val="0"/>
        <w:rPr>
          <w:rFonts w:ascii="Century Gothic" w:hAnsi="Century Gothic"/>
        </w:rPr>
      </w:pPr>
      <w:r w:rsidRPr="00831A39">
        <w:rPr>
          <w:rFonts w:ascii="Century Gothic" w:hAnsi="Century Gothic" w:cs="Segoe UI Emoji"/>
          <w:i/>
          <w:iCs/>
        </w:rPr>
        <w:t>See below diagrams taken regarding the creation of tariffs</w:t>
      </w:r>
      <w:r w:rsidR="00D047E8">
        <w:rPr>
          <w:rFonts w:ascii="Century Gothic" w:hAnsi="Century Gothic" w:cs="Segoe UI Emoji"/>
          <w:i/>
          <w:iCs/>
        </w:rPr>
        <w:t xml:space="preserve"> from the NERSA consultation paper of August 2023</w:t>
      </w:r>
      <w:r w:rsidRPr="00831A39">
        <w:rPr>
          <w:rFonts w:ascii="Century Gothic" w:hAnsi="Century Gothic" w:cs="Segoe UI Emoji"/>
          <w:i/>
          <w:iCs/>
        </w:rPr>
        <w:t>:</w:t>
      </w:r>
    </w:p>
    <w:p w14:paraId="636BB3D9" w14:textId="1CCA5515" w:rsidR="00FB4F19" w:rsidRDefault="00FB4F19" w:rsidP="00C46C90">
      <w:pPr>
        <w:pStyle w:val="ListParagraph"/>
        <w:shd w:val="clear" w:color="auto" w:fill="F2F2F2" w:themeFill="background1" w:themeFillShade="F2"/>
        <w:spacing w:before="120" w:line="240" w:lineRule="auto"/>
        <w:ind w:left="0" w:firstLine="360"/>
        <w:contextualSpacing w:val="0"/>
        <w:rPr>
          <w:rFonts w:ascii="Century Gothic" w:hAnsi="Century Gothic"/>
          <w:b/>
          <w:bCs/>
          <w:i/>
          <w:iCs/>
        </w:rPr>
      </w:pPr>
      <w:r>
        <w:rPr>
          <w:rFonts w:ascii="Century Gothic" w:hAnsi="Century Gothic"/>
          <w:b/>
          <w:bCs/>
          <w:i/>
          <w:iCs/>
          <w:noProof/>
        </w:rPr>
        <w:drawing>
          <wp:inline distT="0" distB="0" distL="0" distR="0" wp14:anchorId="5B77D139" wp14:editId="2CDBE2BA">
            <wp:extent cx="5106389" cy="227711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a:extLst>
                        <a:ext uri="{BEBA8EAE-BF5A-486C-A8C5-ECC9F3942E4B}">
                          <a14:imgProps xmlns:a14="http://schemas.microsoft.com/office/drawing/2010/main">
                            <a14:imgLayer r:embed="rId42">
                              <a14:imgEffect>
                                <a14:saturation sat="66000"/>
                              </a14:imgEffect>
                            </a14:imgLayer>
                          </a14:imgProps>
                        </a:ext>
                        <a:ext uri="{28A0092B-C50C-407E-A947-70E740481C1C}">
                          <a14:useLocalDpi xmlns:a14="http://schemas.microsoft.com/office/drawing/2010/main" val="0"/>
                        </a:ext>
                      </a:extLst>
                    </a:blip>
                    <a:srcRect b="9775"/>
                    <a:stretch/>
                  </pic:blipFill>
                  <pic:spPr bwMode="auto">
                    <a:xfrm>
                      <a:off x="0" y="0"/>
                      <a:ext cx="5107335" cy="2277532"/>
                    </a:xfrm>
                    <a:prstGeom prst="rect">
                      <a:avLst/>
                    </a:prstGeom>
                    <a:noFill/>
                    <a:ln>
                      <a:noFill/>
                    </a:ln>
                    <a:extLst>
                      <a:ext uri="{53640926-AAD7-44D8-BBD7-CCE9431645EC}">
                        <a14:shadowObscured xmlns:a14="http://schemas.microsoft.com/office/drawing/2010/main"/>
                      </a:ext>
                    </a:extLst>
                  </pic:spPr>
                </pic:pic>
              </a:graphicData>
            </a:graphic>
          </wp:inline>
        </w:drawing>
      </w:r>
    </w:p>
    <w:p w14:paraId="192ECC3D" w14:textId="1080EC47" w:rsidR="000D2971" w:rsidRPr="00CB7974" w:rsidRDefault="000D2971" w:rsidP="00C46C90">
      <w:pPr>
        <w:pStyle w:val="ListParagraph"/>
        <w:shd w:val="clear" w:color="auto" w:fill="F2F2F2" w:themeFill="background1" w:themeFillShade="F2"/>
        <w:spacing w:before="120" w:line="240" w:lineRule="auto"/>
        <w:ind w:left="0" w:firstLine="360"/>
        <w:contextualSpacing w:val="0"/>
        <w:rPr>
          <w:rFonts w:ascii="Century Gothic" w:hAnsi="Century Gothic"/>
          <w:b/>
          <w:bCs/>
          <w:i/>
          <w:iCs/>
        </w:rPr>
      </w:pPr>
      <w:r>
        <w:rPr>
          <w:rFonts w:ascii="Century Gothic" w:hAnsi="Century Gothic"/>
          <w:b/>
          <w:bCs/>
          <w:i/>
          <w:iCs/>
          <w:noProof/>
        </w:rPr>
        <w:lastRenderedPageBreak/>
        <w:drawing>
          <wp:inline distT="0" distB="0" distL="0" distR="0" wp14:anchorId="3A9FB49D" wp14:editId="14947788">
            <wp:extent cx="5088576" cy="319976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96329" cy="3204640"/>
                    </a:xfrm>
                    <a:prstGeom prst="rect">
                      <a:avLst/>
                    </a:prstGeom>
                    <a:noFill/>
                  </pic:spPr>
                </pic:pic>
              </a:graphicData>
            </a:graphic>
          </wp:inline>
        </w:drawing>
      </w:r>
    </w:p>
    <w:p w14:paraId="35464FEE" w14:textId="6BB4ADDA" w:rsidR="00586325" w:rsidRPr="00586325" w:rsidRDefault="00586325" w:rsidP="00871EE8">
      <w:pPr>
        <w:pStyle w:val="ListParagraph"/>
        <w:numPr>
          <w:ilvl w:val="0"/>
          <w:numId w:val="30"/>
        </w:numPr>
        <w:shd w:val="clear" w:color="auto" w:fill="F2F2F2" w:themeFill="background1" w:themeFillShade="F2"/>
        <w:spacing w:before="120" w:line="240" w:lineRule="auto"/>
        <w:contextualSpacing w:val="0"/>
        <w:rPr>
          <w:rFonts w:ascii="Century Gothic" w:hAnsi="Century Gothic" w:cs="Segoe UI Emoji"/>
          <w:i/>
          <w:iCs/>
        </w:rPr>
      </w:pPr>
      <w:r w:rsidRPr="00CB7974">
        <w:rPr>
          <w:rFonts w:ascii="Century Gothic" w:hAnsi="Century Gothic" w:cs="Segoe UI Emoji"/>
          <w:b/>
          <w:bCs/>
          <w:i/>
          <w:iCs/>
        </w:rPr>
        <w:t>Tariff Design and Approval:</w:t>
      </w:r>
      <w:r w:rsidRPr="00CB7974">
        <w:rPr>
          <w:rFonts w:ascii="Century Gothic" w:hAnsi="Century Gothic" w:cs="Segoe UI Emoji"/>
          <w:i/>
          <w:iCs/>
        </w:rPr>
        <w:t xml:space="preserve"> </w:t>
      </w:r>
      <w:r>
        <w:rPr>
          <w:rFonts w:ascii="Century Gothic" w:hAnsi="Century Gothic" w:cs="Segoe UI Emoji"/>
          <w:i/>
          <w:iCs/>
        </w:rPr>
        <w:t xml:space="preserve">The Municipality </w:t>
      </w:r>
      <w:r w:rsidRPr="00CB7974">
        <w:rPr>
          <w:rFonts w:ascii="Century Gothic" w:hAnsi="Century Gothic" w:cs="Segoe UI Emoji"/>
          <w:i/>
          <w:iCs/>
        </w:rPr>
        <w:t>should establish a transparent and fair tariff structure that reflects the costs associated with the provision of electricity services. Tariffs should be designed in accordance with regulatory requirements and the principles of cost recovery. It is important to engage with relevant stakeholders and obtain the necessary approvals for tariff implementation.</w:t>
      </w:r>
    </w:p>
    <w:p w14:paraId="0989A9C3" w14:textId="397AC0E1" w:rsidR="00E42A5B" w:rsidRPr="00CB7974" w:rsidRDefault="00E42A5B" w:rsidP="00871EE8">
      <w:pPr>
        <w:pStyle w:val="ListParagraph"/>
        <w:numPr>
          <w:ilvl w:val="0"/>
          <w:numId w:val="30"/>
        </w:numPr>
        <w:shd w:val="clear" w:color="auto" w:fill="F2F2F2" w:themeFill="background1" w:themeFillShade="F2"/>
        <w:spacing w:before="120" w:line="240" w:lineRule="auto"/>
        <w:contextualSpacing w:val="0"/>
        <w:rPr>
          <w:rFonts w:ascii="Century Gothic" w:hAnsi="Century Gothic" w:cs="Segoe UI Emoji"/>
          <w:i/>
          <w:iCs/>
        </w:rPr>
      </w:pPr>
      <w:r w:rsidRPr="00C46C90">
        <w:rPr>
          <w:rFonts w:ascii="Century Gothic" w:hAnsi="Century Gothic" w:cs="Segoe UI Emoji"/>
          <w:b/>
          <w:bCs/>
          <w:i/>
          <w:iCs/>
          <w:shd w:val="clear" w:color="auto" w:fill="F2F2F2" w:themeFill="background1" w:themeFillShade="F2"/>
        </w:rPr>
        <w:t>Billing Accuracy and Transparency:</w:t>
      </w:r>
      <w:r w:rsidRPr="00C46C90">
        <w:rPr>
          <w:rFonts w:ascii="Century Gothic" w:hAnsi="Century Gothic" w:cs="Segoe UI Emoji"/>
          <w:i/>
          <w:iCs/>
          <w:shd w:val="clear" w:color="auto" w:fill="F2F2F2" w:themeFill="background1" w:themeFillShade="F2"/>
        </w:rPr>
        <w:t xml:space="preserve"> </w:t>
      </w:r>
      <w:r w:rsidR="00A56758">
        <w:rPr>
          <w:rFonts w:ascii="Century Gothic" w:hAnsi="Century Gothic" w:cs="Segoe UI Emoji"/>
          <w:i/>
          <w:iCs/>
          <w:shd w:val="clear" w:color="auto" w:fill="F2F2F2" w:themeFill="background1" w:themeFillShade="F2"/>
        </w:rPr>
        <w:t xml:space="preserve">The Municipality </w:t>
      </w:r>
      <w:r w:rsidRPr="00C46C90">
        <w:rPr>
          <w:rFonts w:ascii="Century Gothic" w:hAnsi="Century Gothic" w:cs="Segoe UI Emoji"/>
          <w:i/>
          <w:iCs/>
          <w:shd w:val="clear" w:color="auto" w:fill="F2F2F2" w:themeFill="background1" w:themeFillShade="F2"/>
        </w:rPr>
        <w:t>need to ensure that billing processes are accurate, transparent, and aligned with the established tariffs. This involves implementing robust meter reading, data validation, and billing verification procedures. Billing statements should provide clear and detailed information to customers, including the breakdown of charges</w:t>
      </w:r>
      <w:r w:rsidRPr="00CB7974">
        <w:rPr>
          <w:rFonts w:ascii="Century Gothic" w:hAnsi="Century Gothic" w:cs="Segoe UI Emoji"/>
          <w:i/>
          <w:iCs/>
        </w:rPr>
        <w:t xml:space="preserve"> and any applicable taxes or levies.</w:t>
      </w:r>
    </w:p>
    <w:p w14:paraId="69AEF127" w14:textId="5C46BD1C" w:rsidR="00E42A5B" w:rsidRPr="00CB7974" w:rsidRDefault="00E42A5B" w:rsidP="00871EE8">
      <w:pPr>
        <w:pStyle w:val="ListParagraph"/>
        <w:numPr>
          <w:ilvl w:val="0"/>
          <w:numId w:val="30"/>
        </w:numPr>
        <w:shd w:val="clear" w:color="auto" w:fill="F2F2F2" w:themeFill="background1" w:themeFillShade="F2"/>
        <w:spacing w:before="120" w:line="240" w:lineRule="auto"/>
        <w:contextualSpacing w:val="0"/>
        <w:rPr>
          <w:rFonts w:ascii="Century Gothic" w:hAnsi="Century Gothic" w:cs="Segoe UI Emoji"/>
          <w:i/>
          <w:iCs/>
        </w:rPr>
      </w:pPr>
      <w:r w:rsidRPr="00CB7974">
        <w:rPr>
          <w:rFonts w:ascii="Century Gothic" w:hAnsi="Century Gothic" w:cs="Segoe UI Emoji"/>
          <w:b/>
          <w:bCs/>
          <w:i/>
          <w:iCs/>
        </w:rPr>
        <w:t>Customer Dispute Resolution:</w:t>
      </w:r>
      <w:r w:rsidRPr="00CB7974">
        <w:rPr>
          <w:rFonts w:ascii="Century Gothic" w:hAnsi="Century Gothic" w:cs="Segoe UI Emoji"/>
          <w:i/>
          <w:iCs/>
        </w:rPr>
        <w:t xml:space="preserve"> </w:t>
      </w:r>
      <w:r w:rsidR="00A56758">
        <w:rPr>
          <w:rFonts w:ascii="Century Gothic" w:hAnsi="Century Gothic" w:cs="Segoe UI Emoji"/>
          <w:i/>
          <w:iCs/>
        </w:rPr>
        <w:t xml:space="preserve">The Municipality </w:t>
      </w:r>
      <w:r w:rsidRPr="00CB7974">
        <w:rPr>
          <w:rFonts w:ascii="Century Gothic" w:hAnsi="Century Gothic" w:cs="Segoe UI Emoji"/>
          <w:i/>
          <w:iCs/>
        </w:rPr>
        <w:t>should have mechanisms in place to address customer disputes related to tariffs and billing. This includes establishing procedures for handling customer complaints, conducting investigations when necessary, and resolving disputes in a timely and fair manner.</w:t>
      </w:r>
    </w:p>
    <w:p w14:paraId="2DD03036" w14:textId="296496E4" w:rsidR="00E42A5B" w:rsidRPr="00CB7974" w:rsidRDefault="00E42A5B" w:rsidP="00871EE8">
      <w:pPr>
        <w:pStyle w:val="ListParagraph"/>
        <w:numPr>
          <w:ilvl w:val="0"/>
          <w:numId w:val="30"/>
        </w:numPr>
        <w:shd w:val="clear" w:color="auto" w:fill="F2F2F2" w:themeFill="background1" w:themeFillShade="F2"/>
        <w:spacing w:before="120" w:line="240" w:lineRule="auto"/>
        <w:contextualSpacing w:val="0"/>
        <w:rPr>
          <w:rFonts w:ascii="Century Gothic" w:hAnsi="Century Gothic" w:cs="Segoe UI Emoji"/>
          <w:i/>
          <w:iCs/>
        </w:rPr>
      </w:pPr>
      <w:r w:rsidRPr="00CB7974">
        <w:rPr>
          <w:rFonts w:ascii="Century Gothic" w:hAnsi="Century Gothic" w:cs="Segoe UI Emoji"/>
          <w:b/>
          <w:bCs/>
          <w:i/>
          <w:iCs/>
        </w:rPr>
        <w:t>Compliance Monitoring:</w:t>
      </w:r>
      <w:r w:rsidRPr="00CB7974">
        <w:rPr>
          <w:rFonts w:ascii="Century Gothic" w:hAnsi="Century Gothic" w:cs="Segoe UI Emoji"/>
          <w:i/>
          <w:iCs/>
        </w:rPr>
        <w:t xml:space="preserve"> </w:t>
      </w:r>
      <w:r w:rsidR="00A56758">
        <w:rPr>
          <w:rFonts w:ascii="Century Gothic" w:hAnsi="Century Gothic" w:cs="Segoe UI Emoji"/>
          <w:i/>
          <w:iCs/>
        </w:rPr>
        <w:t xml:space="preserve">The Municipality </w:t>
      </w:r>
      <w:r w:rsidRPr="00CB7974">
        <w:rPr>
          <w:rFonts w:ascii="Century Gothic" w:hAnsi="Century Gothic" w:cs="Segoe UI Emoji"/>
          <w:i/>
          <w:iCs/>
        </w:rPr>
        <w:t>need to monitor and assess the compliance of tariffs and billing practices on an ongoing basis. This involves regular reviews of billing processes, conducting internal audits, and addressing any identified non-compliance issues. It is important to maintain accurate records and documentation to demonstrate compliance with regulatory requirements.</w:t>
      </w:r>
    </w:p>
    <w:p w14:paraId="246EFF20" w14:textId="207123FB" w:rsidR="003B5A1C" w:rsidRPr="00CB7974" w:rsidRDefault="00E42A5B" w:rsidP="00877B3A">
      <w:pPr>
        <w:shd w:val="clear" w:color="auto" w:fill="F2F2F2" w:themeFill="background1" w:themeFillShade="F2"/>
        <w:spacing w:before="120" w:line="240" w:lineRule="auto"/>
        <w:rPr>
          <w:rFonts w:ascii="Century Gothic" w:hAnsi="Century Gothic" w:cs="Segoe UI Emoji"/>
          <w:i/>
          <w:iCs/>
        </w:rPr>
      </w:pPr>
      <w:r w:rsidRPr="00CB7974">
        <w:rPr>
          <w:rFonts w:ascii="Century Gothic" w:hAnsi="Century Gothic" w:cs="Segoe UI Emoji"/>
          <w:i/>
          <w:iCs/>
        </w:rPr>
        <w:t xml:space="preserve">By ensuring compliance with regulations, codes, ERA, third-party wheeling rules (when published), obtaining NERSA approval when necessary, and aligning with the </w:t>
      </w:r>
      <w:proofErr w:type="spellStart"/>
      <w:r w:rsidRPr="00CB7974">
        <w:rPr>
          <w:rFonts w:ascii="Century Gothic" w:hAnsi="Century Gothic" w:cs="Segoe UI Emoji"/>
          <w:i/>
          <w:iCs/>
        </w:rPr>
        <w:t>mSCOA</w:t>
      </w:r>
      <w:proofErr w:type="spellEnd"/>
      <w:r w:rsidRPr="00CB7974">
        <w:rPr>
          <w:rFonts w:ascii="Century Gothic" w:hAnsi="Century Gothic" w:cs="Segoe UI Emoji"/>
          <w:i/>
          <w:iCs/>
        </w:rPr>
        <w:t xml:space="preserve"> guidelines, </w:t>
      </w:r>
      <w:r w:rsidR="00A56758">
        <w:rPr>
          <w:rFonts w:ascii="Century Gothic" w:hAnsi="Century Gothic" w:cs="Segoe UI Emoji"/>
          <w:i/>
          <w:iCs/>
        </w:rPr>
        <w:t xml:space="preserve">The Municipality </w:t>
      </w:r>
      <w:r w:rsidR="005B417D">
        <w:rPr>
          <w:rFonts w:ascii="Century Gothic" w:hAnsi="Century Gothic" w:cs="Segoe UI Emoji"/>
          <w:i/>
          <w:iCs/>
        </w:rPr>
        <w:t xml:space="preserve">will </w:t>
      </w:r>
      <w:r w:rsidRPr="00CB7974">
        <w:rPr>
          <w:rFonts w:ascii="Century Gothic" w:hAnsi="Century Gothic" w:cs="Segoe UI Emoji"/>
          <w:i/>
          <w:iCs/>
        </w:rPr>
        <w:t>contribute to fair and transparent tariff and billing practices in the context of third-party wheeling. This promotes customer confidence, regulatory compliance, and efficient financial management within the municipality.</w:t>
      </w:r>
    </w:p>
    <w:p w14:paraId="008093AA" w14:textId="0DAF9836" w:rsidR="003B5A1C" w:rsidRDefault="003B5A1C" w:rsidP="003B5A1C">
      <w:pPr>
        <w:rPr>
          <w:rFonts w:ascii="Century Gothic" w:hAnsi="Century Gothic"/>
          <w:b/>
          <w:bCs/>
          <w:u w:val="single"/>
        </w:rPr>
      </w:pPr>
      <w:r w:rsidRPr="00FE49F7">
        <w:rPr>
          <w:rFonts w:ascii="Segoe UI Emoji" w:hAnsi="Segoe UI Emoji" w:cs="Segoe UI Emoji"/>
          <w:b/>
          <w:bCs/>
          <w:u w:val="single"/>
        </w:rPr>
        <w:t>💡</w:t>
      </w:r>
      <w:r w:rsidRPr="00FE49F7">
        <w:rPr>
          <w:rFonts w:ascii="Century Gothic" w:hAnsi="Century Gothic"/>
          <w:b/>
          <w:bCs/>
          <w:u w:val="single"/>
        </w:rPr>
        <w:t xml:space="preserve">Illustrative example </w:t>
      </w:r>
    </w:p>
    <w:p w14:paraId="5F3114E7" w14:textId="661F82E6" w:rsidR="0084622F" w:rsidRPr="00A609FC" w:rsidRDefault="00050F71" w:rsidP="003B5A1C">
      <w:pPr>
        <w:rPr>
          <w:rFonts w:ascii="Century Gothic" w:hAnsi="Century Gothic"/>
          <w:u w:val="single"/>
        </w:rPr>
      </w:pPr>
      <w:r w:rsidRPr="00A609FC">
        <w:rPr>
          <w:rFonts w:ascii="Century Gothic" w:hAnsi="Century Gothic"/>
          <w:u w:val="single"/>
        </w:rPr>
        <w:t>T</w:t>
      </w:r>
      <w:r w:rsidR="00F35045" w:rsidRPr="00A609FC">
        <w:rPr>
          <w:rFonts w:ascii="Century Gothic" w:hAnsi="Century Gothic"/>
          <w:u w:val="single"/>
        </w:rPr>
        <w:t xml:space="preserve">here are two </w:t>
      </w:r>
      <w:r w:rsidR="007303FB" w:rsidRPr="00A609FC">
        <w:rPr>
          <w:rFonts w:ascii="Century Gothic" w:hAnsi="Century Gothic"/>
          <w:u w:val="single"/>
        </w:rPr>
        <w:t xml:space="preserve">tariff </w:t>
      </w:r>
      <w:r w:rsidR="00F56E1D" w:rsidRPr="00A609FC">
        <w:rPr>
          <w:rFonts w:ascii="Century Gothic" w:hAnsi="Century Gothic"/>
          <w:u w:val="single"/>
        </w:rPr>
        <w:t>structures</w:t>
      </w:r>
      <w:r w:rsidR="007303FB" w:rsidRPr="00A609FC">
        <w:rPr>
          <w:rFonts w:ascii="Century Gothic" w:hAnsi="Century Gothic"/>
          <w:u w:val="single"/>
        </w:rPr>
        <w:t xml:space="preserve"> </w:t>
      </w:r>
      <w:r w:rsidR="00B23F62">
        <w:rPr>
          <w:rFonts w:ascii="Century Gothic" w:hAnsi="Century Gothic"/>
          <w:u w:val="single"/>
        </w:rPr>
        <w:t xml:space="preserve">currently </w:t>
      </w:r>
      <w:r w:rsidR="007303FB" w:rsidRPr="00A609FC">
        <w:rPr>
          <w:rFonts w:ascii="Century Gothic" w:hAnsi="Century Gothic"/>
          <w:u w:val="single"/>
        </w:rPr>
        <w:t>being used in South Africa</w:t>
      </w:r>
      <w:r w:rsidR="0084622F" w:rsidRPr="00A609FC">
        <w:rPr>
          <w:rFonts w:ascii="Century Gothic" w:hAnsi="Century Gothic"/>
          <w:u w:val="single"/>
        </w:rPr>
        <w:t>:</w:t>
      </w:r>
    </w:p>
    <w:p w14:paraId="0A5F67AE" w14:textId="77777777" w:rsidR="007D39E3" w:rsidRPr="00991C58" w:rsidRDefault="007D39E3" w:rsidP="007D39E3">
      <w:pPr>
        <w:spacing w:before="240" w:after="41" w:line="269" w:lineRule="auto"/>
        <w:jc w:val="both"/>
        <w:rPr>
          <w:rFonts w:ascii="Century Gothic" w:hAnsi="Century Gothic"/>
          <w:b/>
          <w:bCs/>
        </w:rPr>
      </w:pPr>
      <w:bookmarkStart w:id="26" w:name="_Ref136950973"/>
      <w:r>
        <w:rPr>
          <w:rFonts w:ascii="Century Gothic" w:hAnsi="Century Gothic"/>
          <w:b/>
          <w:bCs/>
        </w:rPr>
        <w:t xml:space="preserve">Option 1: </w:t>
      </w:r>
      <w:r w:rsidRPr="00991C58">
        <w:rPr>
          <w:rFonts w:ascii="Century Gothic" w:hAnsi="Century Gothic"/>
          <w:b/>
          <w:bCs/>
        </w:rPr>
        <w:t>Wheeling Credit Rate</w:t>
      </w:r>
      <w:bookmarkEnd w:id="26"/>
      <w:r w:rsidRPr="00991C58">
        <w:rPr>
          <w:rFonts w:ascii="Century Gothic" w:hAnsi="Century Gothic"/>
          <w:b/>
          <w:bCs/>
        </w:rPr>
        <w:t>/Tariff</w:t>
      </w:r>
      <w:r>
        <w:rPr>
          <w:rFonts w:ascii="Century Gothic" w:hAnsi="Century Gothic"/>
          <w:b/>
          <w:bCs/>
        </w:rPr>
        <w:t xml:space="preserve"> </w:t>
      </w:r>
      <w:r w:rsidRPr="00AF0EE5">
        <w:rPr>
          <w:rFonts w:ascii="Century Gothic" w:hAnsi="Century Gothic"/>
          <w:b/>
          <w:bCs/>
        </w:rPr>
        <w:t>= Time-of-Use Energy Purchase Price excluding technical losses</w:t>
      </w:r>
    </w:p>
    <w:p w14:paraId="0919282D" w14:textId="7B2A4644" w:rsidR="007D39E3" w:rsidRDefault="007D39E3" w:rsidP="00871EE8">
      <w:pPr>
        <w:pStyle w:val="BodyText"/>
        <w:numPr>
          <w:ilvl w:val="0"/>
          <w:numId w:val="14"/>
        </w:numPr>
        <w:spacing w:before="60" w:after="60"/>
        <w:ind w:left="357" w:hanging="357"/>
        <w:rPr>
          <w:rFonts w:ascii="Century Gothic" w:hAnsi="Century Gothic" w:cs="Arial"/>
        </w:rPr>
      </w:pPr>
      <w:r w:rsidRPr="005723B1">
        <w:rPr>
          <w:rFonts w:ascii="Century Gothic" w:hAnsi="Century Gothic" w:cs="Arial"/>
        </w:rPr>
        <w:t xml:space="preserve">The Wheeling Credit Rate/Tariff refers to the rate in c/kWh at which the Wheeled Energy is credited to the Off-taker's electricity bill based on the Licensee Avoided Cost. This is a tariff charge based on negative </w:t>
      </w:r>
      <w:proofErr w:type="spellStart"/>
      <w:r w:rsidRPr="005723B1">
        <w:rPr>
          <w:rFonts w:ascii="Century Gothic" w:hAnsi="Century Gothic" w:cs="Arial"/>
        </w:rPr>
        <w:t>kWhs</w:t>
      </w:r>
      <w:proofErr w:type="spellEnd"/>
      <w:r w:rsidRPr="005723B1">
        <w:rPr>
          <w:rFonts w:ascii="Century Gothic" w:hAnsi="Century Gothic" w:cs="Arial"/>
        </w:rPr>
        <w:t xml:space="preserve"> for Wheeled Energy that has been supplied to the </w:t>
      </w:r>
      <w:r w:rsidRPr="005723B1">
        <w:rPr>
          <w:rFonts w:ascii="Century Gothic" w:hAnsi="Century Gothic" w:cs="Arial"/>
        </w:rPr>
        <w:lastRenderedPageBreak/>
        <w:t>Network by the generator and need to be “given back” to the Buyer of the energy who pays the generator directly for the Wheeled Energy.</w:t>
      </w:r>
    </w:p>
    <w:p w14:paraId="1FD6A221" w14:textId="4BABF4F8" w:rsidR="00BF7E21" w:rsidRPr="00C57FCE" w:rsidRDefault="00BF7E21" w:rsidP="00871EE8">
      <w:pPr>
        <w:pStyle w:val="BodyText"/>
        <w:numPr>
          <w:ilvl w:val="0"/>
          <w:numId w:val="14"/>
        </w:numPr>
        <w:spacing w:before="60" w:after="60"/>
        <w:ind w:left="357" w:hanging="357"/>
        <w:rPr>
          <w:rFonts w:ascii="Century Gothic" w:hAnsi="Century Gothic" w:cs="Arial"/>
        </w:rPr>
      </w:pPr>
      <w:r w:rsidRPr="00991C58">
        <w:rPr>
          <w:rFonts w:ascii="Century Gothic" w:hAnsi="Century Gothic"/>
          <w:noProof/>
        </w:rPr>
        <w:drawing>
          <wp:anchor distT="0" distB="0" distL="114300" distR="114300" simplePos="0" relativeHeight="251658241" behindDoc="0" locked="0" layoutInCell="1" allowOverlap="1" wp14:anchorId="659A2211" wp14:editId="4A7C5CA6">
            <wp:simplePos x="0" y="0"/>
            <wp:positionH relativeFrom="column">
              <wp:posOffset>277495</wp:posOffset>
            </wp:positionH>
            <wp:positionV relativeFrom="paragraph">
              <wp:posOffset>727710</wp:posOffset>
            </wp:positionV>
            <wp:extent cx="3448685" cy="1016000"/>
            <wp:effectExtent l="76200" t="76200" r="132715" b="127000"/>
            <wp:wrapTopAndBottom/>
            <wp:docPr id="157159806" name="Picture 157159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48685" cy="1016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991C58">
        <w:rPr>
          <w:rFonts w:ascii="Century Gothic" w:hAnsi="Century Gothic" w:cs="Arial"/>
        </w:rPr>
        <w:t xml:space="preserve">A credit is </w:t>
      </w:r>
      <w:r w:rsidR="003D7AA1">
        <w:rPr>
          <w:rFonts w:ascii="Century Gothic" w:hAnsi="Century Gothic" w:cs="Arial"/>
        </w:rPr>
        <w:t xml:space="preserve">therefore </w:t>
      </w:r>
      <w:r w:rsidRPr="00991C58">
        <w:rPr>
          <w:rFonts w:ascii="Century Gothic" w:hAnsi="Century Gothic" w:cs="Arial"/>
        </w:rPr>
        <w:t>given back to the customer for the wheeled energy i.e., for example a charge of R1 per kWh, with a credit of R0.20 per kWh given back to the customer – both these amounts will be shown on the customer invoice.</w:t>
      </w:r>
    </w:p>
    <w:p w14:paraId="2526EF09" w14:textId="77777777" w:rsidR="007D39E3" w:rsidRPr="005723B1" w:rsidRDefault="007D39E3" w:rsidP="00871EE8">
      <w:pPr>
        <w:pStyle w:val="BodyText"/>
        <w:numPr>
          <w:ilvl w:val="0"/>
          <w:numId w:val="14"/>
        </w:numPr>
        <w:spacing w:before="60" w:after="60"/>
        <w:ind w:left="357" w:hanging="357"/>
        <w:rPr>
          <w:rFonts w:ascii="Century Gothic" w:hAnsi="Century Gothic" w:cs="Arial"/>
        </w:rPr>
      </w:pPr>
      <w:r w:rsidRPr="005723B1">
        <w:rPr>
          <w:rFonts w:ascii="Century Gothic" w:hAnsi="Century Gothic" w:cs="Arial"/>
        </w:rPr>
        <w:t>Before implementing the Wheeling Credit Rate/Tariff, it must be justified by the Licensee for approval by NERSA. This is not a commercial arrangement for a payment of energy by the Licensee, but a refund to the customer for energy exported at one point of the Network which the Licensee has used and, therefore, needs to give it back to the Buyer.</w:t>
      </w:r>
    </w:p>
    <w:p w14:paraId="61ACF7F2" w14:textId="77777777" w:rsidR="007D39E3" w:rsidRPr="005723B1" w:rsidRDefault="007D39E3" w:rsidP="00871EE8">
      <w:pPr>
        <w:pStyle w:val="BodyText"/>
        <w:numPr>
          <w:ilvl w:val="0"/>
          <w:numId w:val="14"/>
        </w:numPr>
        <w:spacing w:before="60" w:after="60"/>
        <w:ind w:left="357" w:hanging="357"/>
        <w:rPr>
          <w:rFonts w:ascii="Century Gothic" w:hAnsi="Century Gothic" w:cs="Arial"/>
        </w:rPr>
      </w:pPr>
      <w:r w:rsidRPr="005723B1">
        <w:rPr>
          <w:rFonts w:ascii="Century Gothic" w:hAnsi="Century Gothic" w:cs="Arial"/>
        </w:rPr>
        <w:t>NERSA's approval ensures that the Wheeling Credit Rate/Tariff is not discriminatory, is based on fair and equitable principles, promotes regulatory compliance and provides confidence in the tariff to be applied.</w:t>
      </w:r>
    </w:p>
    <w:p w14:paraId="43B0EA49" w14:textId="77777777" w:rsidR="007D39E3" w:rsidRPr="005723B1" w:rsidRDefault="007D39E3" w:rsidP="00871EE8">
      <w:pPr>
        <w:pStyle w:val="BodyText"/>
        <w:numPr>
          <w:ilvl w:val="0"/>
          <w:numId w:val="14"/>
        </w:numPr>
        <w:spacing w:before="60" w:after="60"/>
        <w:ind w:left="357" w:hanging="357"/>
        <w:rPr>
          <w:rFonts w:ascii="Century Gothic" w:hAnsi="Century Gothic" w:cs="Arial"/>
        </w:rPr>
      </w:pPr>
      <w:r w:rsidRPr="005723B1">
        <w:rPr>
          <w:rFonts w:ascii="Century Gothic" w:hAnsi="Century Gothic" w:cs="Arial"/>
        </w:rPr>
        <w:t>Using an approved Wheeling Credit Rate tariff provides clarity and transparency regarding the financial aspects of the wheeling arrangement.</w:t>
      </w:r>
    </w:p>
    <w:p w14:paraId="7518D785" w14:textId="77777777" w:rsidR="007D39E3" w:rsidRPr="005723B1" w:rsidRDefault="007D39E3" w:rsidP="00871EE8">
      <w:pPr>
        <w:pStyle w:val="BodyText"/>
        <w:numPr>
          <w:ilvl w:val="0"/>
          <w:numId w:val="14"/>
        </w:numPr>
        <w:spacing w:before="60" w:after="60"/>
        <w:ind w:left="357" w:hanging="357"/>
        <w:rPr>
          <w:rFonts w:ascii="Century Gothic" w:hAnsi="Century Gothic" w:cs="Arial"/>
        </w:rPr>
      </w:pPr>
      <w:r w:rsidRPr="005723B1">
        <w:rPr>
          <w:rFonts w:ascii="Century Gothic" w:hAnsi="Century Gothic" w:cs="Arial"/>
        </w:rPr>
        <w:t>It serves as a benchmark for calculating the value of the Wheeled Energy and ensures that the Off-taker receives proper compensation for the Wheeled Energy.</w:t>
      </w:r>
    </w:p>
    <w:p w14:paraId="551103D3" w14:textId="77777777" w:rsidR="007D39E3" w:rsidRPr="005723B1" w:rsidRDefault="007D39E3" w:rsidP="00871EE8">
      <w:pPr>
        <w:pStyle w:val="BodyText"/>
        <w:numPr>
          <w:ilvl w:val="0"/>
          <w:numId w:val="14"/>
        </w:numPr>
        <w:spacing w:before="60" w:after="60"/>
        <w:ind w:left="357" w:hanging="357"/>
        <w:rPr>
          <w:rFonts w:ascii="Century Gothic" w:hAnsi="Century Gothic" w:cs="Arial"/>
        </w:rPr>
      </w:pPr>
      <w:r w:rsidRPr="005723B1">
        <w:rPr>
          <w:rFonts w:ascii="Century Gothic" w:hAnsi="Century Gothic" w:cs="Arial"/>
        </w:rPr>
        <w:t>The Wheeling Credit Rate/Tariff shall be based on Avoided Cost using the following formula:</w:t>
      </w:r>
    </w:p>
    <w:p w14:paraId="08CC8EE5" w14:textId="77777777" w:rsidR="007D39E3" w:rsidRPr="00AF0EE5" w:rsidRDefault="007D39E3" w:rsidP="00871EE8">
      <w:pPr>
        <w:pStyle w:val="BodyText"/>
        <w:numPr>
          <w:ilvl w:val="1"/>
          <w:numId w:val="14"/>
        </w:numPr>
        <w:spacing w:before="60" w:after="60"/>
        <w:rPr>
          <w:rFonts w:ascii="Century Gothic" w:hAnsi="Century Gothic" w:cs="Arial"/>
        </w:rPr>
      </w:pPr>
      <w:r w:rsidRPr="00AF0EE5">
        <w:rPr>
          <w:rFonts w:ascii="Century Gothic" w:hAnsi="Century Gothic" w:cs="Arial"/>
        </w:rPr>
        <w:t>The energy purchase price is based on the approved Distributor’s Avoided Costs.</w:t>
      </w:r>
    </w:p>
    <w:p w14:paraId="2A92A77B" w14:textId="77777777" w:rsidR="007D39E3" w:rsidRPr="00AF0EE5" w:rsidRDefault="007D39E3" w:rsidP="00871EE8">
      <w:pPr>
        <w:pStyle w:val="BodyText"/>
        <w:numPr>
          <w:ilvl w:val="1"/>
          <w:numId w:val="14"/>
        </w:numPr>
        <w:spacing w:before="60" w:after="60"/>
        <w:rPr>
          <w:rFonts w:ascii="Century Gothic" w:hAnsi="Century Gothic" w:cs="Arial"/>
        </w:rPr>
      </w:pPr>
      <w:r w:rsidRPr="00AF0EE5">
        <w:rPr>
          <w:rFonts w:ascii="Century Gothic" w:hAnsi="Century Gothic" w:cs="Arial"/>
        </w:rPr>
        <w:t>The technical line losses shall be based on the cost-of-supply study results.</w:t>
      </w:r>
    </w:p>
    <w:p w14:paraId="572FEDAD" w14:textId="77777777" w:rsidR="007D39E3" w:rsidRPr="00AF0EE5" w:rsidRDefault="007D39E3" w:rsidP="00871EE8">
      <w:pPr>
        <w:pStyle w:val="BodyText"/>
        <w:numPr>
          <w:ilvl w:val="1"/>
          <w:numId w:val="14"/>
        </w:numPr>
        <w:spacing w:before="60" w:after="60"/>
        <w:rPr>
          <w:rFonts w:ascii="Century Gothic" w:hAnsi="Century Gothic" w:cs="Arial"/>
        </w:rPr>
      </w:pPr>
      <w:r w:rsidRPr="00AF0EE5">
        <w:rPr>
          <w:rFonts w:ascii="Century Gothic" w:hAnsi="Century Gothic" w:cs="Arial"/>
        </w:rPr>
        <w:t>The energy purchase price to be used is based on active energy charges payable at the wholesale level.</w:t>
      </w:r>
    </w:p>
    <w:p w14:paraId="57E3DF97" w14:textId="19E9FBA9" w:rsidR="007D39E3" w:rsidRPr="00FC1813" w:rsidRDefault="007D39E3" w:rsidP="00FC1813">
      <w:pPr>
        <w:pStyle w:val="BodyText"/>
        <w:numPr>
          <w:ilvl w:val="1"/>
          <w:numId w:val="14"/>
        </w:numPr>
        <w:spacing w:before="60" w:after="60"/>
        <w:rPr>
          <w:rFonts w:ascii="Century Gothic" w:hAnsi="Century Gothic" w:cs="Arial"/>
        </w:rPr>
      </w:pPr>
      <w:r w:rsidRPr="00AF0EE5">
        <w:rPr>
          <w:rFonts w:ascii="Century Gothic" w:hAnsi="Century Gothic" w:cs="Arial"/>
        </w:rPr>
        <w:t>That the Licensee will have the choice to do half-hourly, hourly or monthly time-of-use reconciliation. Over-time this should, however, evolve to be at least hourly.</w:t>
      </w:r>
    </w:p>
    <w:p w14:paraId="7E8F3D66" w14:textId="77777777" w:rsidR="007D39E3" w:rsidRPr="00991C58" w:rsidRDefault="007D39E3" w:rsidP="007D39E3">
      <w:pPr>
        <w:spacing w:before="240" w:after="200" w:line="240" w:lineRule="auto"/>
        <w:ind w:left="284"/>
        <w:contextualSpacing/>
        <w:jc w:val="both"/>
        <w:rPr>
          <w:rFonts w:ascii="Century Gothic" w:eastAsia="Calibri" w:hAnsi="Century Gothic" w:cs="Calibri"/>
          <w:b/>
          <w:bCs/>
          <w:i/>
        </w:rPr>
      </w:pPr>
      <w:r>
        <w:rPr>
          <w:rFonts w:ascii="Century Gothic" w:hAnsi="Century Gothic"/>
          <w:b/>
          <w:bCs/>
        </w:rPr>
        <w:t xml:space="preserve">Option 2: </w:t>
      </w:r>
      <w:r w:rsidRPr="00991C58">
        <w:rPr>
          <w:rFonts w:ascii="Century Gothic" w:hAnsi="Century Gothic"/>
          <w:b/>
          <w:bCs/>
        </w:rPr>
        <w:t>Separating Wheeled Energy on the bill from Licensee supplied energy</w:t>
      </w:r>
    </w:p>
    <w:p w14:paraId="58336A50" w14:textId="60EA67B7" w:rsidR="007D39E3" w:rsidRPr="007D39E3" w:rsidRDefault="007D39E3" w:rsidP="00871EE8">
      <w:pPr>
        <w:pStyle w:val="BodyText"/>
        <w:numPr>
          <w:ilvl w:val="0"/>
          <w:numId w:val="14"/>
        </w:numPr>
        <w:rPr>
          <w:rFonts w:ascii="Century Gothic" w:hAnsi="Century Gothic" w:cs="Arial"/>
        </w:rPr>
      </w:pPr>
      <w:r w:rsidRPr="007D39E3">
        <w:rPr>
          <w:rFonts w:ascii="Century Gothic" w:hAnsi="Century Gothic" w:cs="Arial"/>
        </w:rPr>
        <w:t>This methodology requires a splitting of the kWh</w:t>
      </w:r>
      <w:r w:rsidR="00347BDA">
        <w:rPr>
          <w:rFonts w:ascii="Century Gothic" w:hAnsi="Century Gothic" w:cs="Arial"/>
        </w:rPr>
        <w:t xml:space="preserve"> – those </w:t>
      </w:r>
      <w:r w:rsidRPr="007D39E3">
        <w:rPr>
          <w:rFonts w:ascii="Century Gothic" w:hAnsi="Century Gothic" w:cs="Arial"/>
        </w:rPr>
        <w:t>purchased by a Buyer from the Licensee</w:t>
      </w:r>
      <w:r w:rsidR="00C01B42">
        <w:rPr>
          <w:rFonts w:ascii="Century Gothic" w:hAnsi="Century Gothic" w:cs="Arial"/>
        </w:rPr>
        <w:t>,</w:t>
      </w:r>
      <w:r w:rsidRPr="007D39E3">
        <w:rPr>
          <w:rFonts w:ascii="Century Gothic" w:hAnsi="Century Gothic" w:cs="Arial"/>
        </w:rPr>
        <w:t xml:space="preserve"> and </w:t>
      </w:r>
      <w:r w:rsidR="00347BDA">
        <w:rPr>
          <w:rFonts w:ascii="Century Gothic" w:hAnsi="Century Gothic" w:cs="Arial"/>
        </w:rPr>
        <w:t>those</w:t>
      </w:r>
      <w:r w:rsidR="00347BDA" w:rsidRPr="007D39E3">
        <w:rPr>
          <w:rFonts w:ascii="Century Gothic" w:hAnsi="Century Gothic" w:cs="Arial"/>
        </w:rPr>
        <w:t xml:space="preserve"> </w:t>
      </w:r>
      <w:r w:rsidRPr="007D39E3">
        <w:rPr>
          <w:rFonts w:ascii="Century Gothic" w:hAnsi="Century Gothic" w:cs="Arial"/>
        </w:rPr>
        <w:t>purchased through a wheeling transaction.</w:t>
      </w:r>
    </w:p>
    <w:p w14:paraId="47826D6F" w14:textId="1EE1B1C0" w:rsidR="007D39E3" w:rsidRDefault="007D39E3" w:rsidP="00871EE8">
      <w:pPr>
        <w:pStyle w:val="BodyText"/>
        <w:numPr>
          <w:ilvl w:val="0"/>
          <w:numId w:val="14"/>
        </w:numPr>
        <w:rPr>
          <w:rFonts w:ascii="Century Gothic" w:hAnsi="Century Gothic" w:cs="Arial"/>
        </w:rPr>
      </w:pPr>
      <w:r w:rsidRPr="007D39E3">
        <w:rPr>
          <w:rFonts w:ascii="Century Gothic" w:hAnsi="Century Gothic" w:cs="Arial"/>
        </w:rPr>
        <w:t>This methodology requires unbundled tariffs reflecting the different services being provided.</w:t>
      </w:r>
    </w:p>
    <w:p w14:paraId="536CDC8E" w14:textId="4428C7D6" w:rsidR="00196502" w:rsidRPr="007D39E3" w:rsidRDefault="00196502" w:rsidP="00871EE8">
      <w:pPr>
        <w:pStyle w:val="BodyText"/>
        <w:numPr>
          <w:ilvl w:val="0"/>
          <w:numId w:val="14"/>
        </w:numPr>
        <w:rPr>
          <w:rFonts w:ascii="Century Gothic" w:hAnsi="Century Gothic" w:cs="Arial"/>
        </w:rPr>
      </w:pPr>
      <w:r>
        <w:rPr>
          <w:rFonts w:ascii="Century Gothic" w:hAnsi="Century Gothic" w:cs="Arial"/>
        </w:rPr>
        <w:t xml:space="preserve">To </w:t>
      </w:r>
      <w:r w:rsidR="00347BDA">
        <w:rPr>
          <w:rFonts w:ascii="Century Gothic" w:hAnsi="Century Gothic" w:cs="Arial"/>
        </w:rPr>
        <w:t xml:space="preserve">create an </w:t>
      </w:r>
      <w:r w:rsidR="00D67DFF">
        <w:rPr>
          <w:rFonts w:ascii="Century Gothic" w:hAnsi="Century Gothic" w:cs="Arial"/>
        </w:rPr>
        <w:t>unbundle</w:t>
      </w:r>
      <w:r w:rsidR="00347BDA">
        <w:rPr>
          <w:rFonts w:ascii="Century Gothic" w:hAnsi="Century Gothic" w:cs="Arial"/>
        </w:rPr>
        <w:t>d</w:t>
      </w:r>
      <w:r>
        <w:rPr>
          <w:rFonts w:ascii="Century Gothic" w:hAnsi="Century Gothic" w:cs="Arial"/>
        </w:rPr>
        <w:t xml:space="preserve"> </w:t>
      </w:r>
      <w:r w:rsidR="00D67DFF">
        <w:rPr>
          <w:rFonts w:ascii="Century Gothic" w:hAnsi="Century Gothic" w:cs="Arial"/>
        </w:rPr>
        <w:t>tariff</w:t>
      </w:r>
      <w:r w:rsidR="00347BDA">
        <w:rPr>
          <w:rFonts w:ascii="Century Gothic" w:hAnsi="Century Gothic" w:cs="Arial"/>
        </w:rPr>
        <w:t>,</w:t>
      </w:r>
      <w:r w:rsidR="00D67DFF">
        <w:rPr>
          <w:rFonts w:ascii="Century Gothic" w:hAnsi="Century Gothic" w:cs="Arial"/>
        </w:rPr>
        <w:t xml:space="preserve"> a cost of supply study must be done by the Municipality</w:t>
      </w:r>
      <w:r w:rsidR="007A2948">
        <w:rPr>
          <w:rFonts w:ascii="Century Gothic" w:hAnsi="Century Gothic" w:cs="Arial"/>
        </w:rPr>
        <w:t>.</w:t>
      </w:r>
      <w:r w:rsidR="00D67DFF">
        <w:rPr>
          <w:rFonts w:ascii="Century Gothic" w:hAnsi="Century Gothic" w:cs="Arial"/>
        </w:rPr>
        <w:t xml:space="preserve"> </w:t>
      </w:r>
    </w:p>
    <w:p w14:paraId="71AD0427" w14:textId="2022C4DD" w:rsidR="007D39E3" w:rsidRPr="007D39E3" w:rsidRDefault="007D39E3" w:rsidP="00871EE8">
      <w:pPr>
        <w:pStyle w:val="BodyText"/>
        <w:numPr>
          <w:ilvl w:val="0"/>
          <w:numId w:val="14"/>
        </w:numPr>
        <w:rPr>
          <w:rFonts w:ascii="Century Gothic" w:hAnsi="Century Gothic" w:cs="Arial"/>
        </w:rPr>
      </w:pPr>
      <w:r w:rsidRPr="007D39E3">
        <w:rPr>
          <w:rFonts w:ascii="Century Gothic" w:hAnsi="Century Gothic" w:cs="Arial"/>
        </w:rPr>
        <w:t>All Use-of-system charges based on a cost</w:t>
      </w:r>
      <w:r w:rsidR="00FA3EE1">
        <w:rPr>
          <w:rFonts w:ascii="Century Gothic" w:hAnsi="Century Gothic" w:cs="Arial"/>
        </w:rPr>
        <w:t xml:space="preserve"> </w:t>
      </w:r>
      <w:r w:rsidRPr="007D39E3">
        <w:rPr>
          <w:rFonts w:ascii="Century Gothic" w:hAnsi="Century Gothic" w:cs="Arial"/>
        </w:rPr>
        <w:t>of</w:t>
      </w:r>
      <w:r w:rsidR="00FA3EE1">
        <w:rPr>
          <w:rFonts w:ascii="Century Gothic" w:hAnsi="Century Gothic" w:cs="Arial"/>
        </w:rPr>
        <w:t xml:space="preserve"> </w:t>
      </w:r>
      <w:r w:rsidRPr="007D39E3">
        <w:rPr>
          <w:rFonts w:ascii="Century Gothic" w:hAnsi="Century Gothic" w:cs="Arial"/>
        </w:rPr>
        <w:t>supply study will be raised on the delivered energy, whether raised as a c/kWh charge or other types of charges. If a cost</w:t>
      </w:r>
      <w:r w:rsidR="00E35854">
        <w:rPr>
          <w:rFonts w:ascii="Century Gothic" w:hAnsi="Century Gothic" w:cs="Arial"/>
        </w:rPr>
        <w:t xml:space="preserve"> </w:t>
      </w:r>
      <w:r w:rsidRPr="007D39E3">
        <w:rPr>
          <w:rFonts w:ascii="Century Gothic" w:hAnsi="Century Gothic" w:cs="Arial"/>
        </w:rPr>
        <w:t>of</w:t>
      </w:r>
      <w:r w:rsidR="00E35854">
        <w:rPr>
          <w:rFonts w:ascii="Century Gothic" w:hAnsi="Century Gothic" w:cs="Arial"/>
        </w:rPr>
        <w:t xml:space="preserve"> </w:t>
      </w:r>
      <w:r w:rsidRPr="007D39E3">
        <w:rPr>
          <w:rFonts w:ascii="Century Gothic" w:hAnsi="Century Gothic" w:cs="Arial"/>
        </w:rPr>
        <w:t>supply is not available</w:t>
      </w:r>
      <w:r w:rsidR="00E35854">
        <w:rPr>
          <w:rFonts w:ascii="Century Gothic" w:hAnsi="Century Gothic" w:cs="Arial"/>
        </w:rPr>
        <w:t>,</w:t>
      </w:r>
      <w:r w:rsidRPr="007D39E3">
        <w:rPr>
          <w:rFonts w:ascii="Century Gothic" w:hAnsi="Century Gothic" w:cs="Arial"/>
        </w:rPr>
        <w:t xml:space="preserve"> then the Use-of-system charges as approved by NERSA will be utilised in the methodology by the Licensee</w:t>
      </w:r>
      <w:r w:rsidR="00E35854">
        <w:rPr>
          <w:rFonts w:ascii="Century Gothic" w:hAnsi="Century Gothic" w:cs="Arial"/>
        </w:rPr>
        <w:t>.</w:t>
      </w:r>
    </w:p>
    <w:p w14:paraId="15853B4A" w14:textId="6C8F5C15" w:rsidR="007D39E3" w:rsidRPr="007D39E3" w:rsidRDefault="00AD0891" w:rsidP="00871EE8">
      <w:pPr>
        <w:pStyle w:val="BodyText"/>
        <w:numPr>
          <w:ilvl w:val="0"/>
          <w:numId w:val="14"/>
        </w:numPr>
        <w:rPr>
          <w:rFonts w:ascii="Century Gothic" w:hAnsi="Century Gothic" w:cs="Arial"/>
        </w:rPr>
      </w:pPr>
      <w:r>
        <w:rPr>
          <w:rFonts w:ascii="Century Gothic" w:hAnsi="Century Gothic" w:cs="Arial"/>
        </w:rPr>
        <w:t>Only e</w:t>
      </w:r>
      <w:r w:rsidR="007D39E3" w:rsidRPr="007D39E3">
        <w:rPr>
          <w:rFonts w:ascii="Century Gothic" w:hAnsi="Century Gothic" w:cs="Arial"/>
        </w:rPr>
        <w:t xml:space="preserve">nergy charges will be raised on the energy supplied by the Licensee. </w:t>
      </w:r>
    </w:p>
    <w:p w14:paraId="334047BF" w14:textId="2E7F0265" w:rsidR="007D39E3" w:rsidRPr="007D39E3" w:rsidRDefault="007D39E3" w:rsidP="00871EE8">
      <w:pPr>
        <w:pStyle w:val="BodyText"/>
        <w:numPr>
          <w:ilvl w:val="0"/>
          <w:numId w:val="14"/>
        </w:numPr>
        <w:rPr>
          <w:rFonts w:ascii="Century Gothic" w:hAnsi="Century Gothic" w:cs="Arial"/>
        </w:rPr>
      </w:pPr>
      <w:r w:rsidRPr="007D39E3">
        <w:rPr>
          <w:rFonts w:ascii="Century Gothic" w:hAnsi="Century Gothic" w:cs="Arial"/>
        </w:rPr>
        <w:t>The wheeling transaction will be applied using the following formula:</w:t>
      </w:r>
    </w:p>
    <w:p w14:paraId="440D3743" w14:textId="77777777" w:rsidR="007D39E3" w:rsidRPr="007D39E3" w:rsidRDefault="007D39E3" w:rsidP="00871EE8">
      <w:pPr>
        <w:pStyle w:val="BodyText"/>
        <w:numPr>
          <w:ilvl w:val="1"/>
          <w:numId w:val="14"/>
        </w:numPr>
        <w:rPr>
          <w:rFonts w:ascii="Century Gothic" w:hAnsi="Century Gothic" w:cs="Arial"/>
        </w:rPr>
      </w:pPr>
      <w:r w:rsidRPr="007D39E3">
        <w:rPr>
          <w:rFonts w:ascii="Century Gothic" w:hAnsi="Century Gothic" w:cs="Arial"/>
        </w:rPr>
        <w:t>Use-of-system charges for the total energy = Total kWh x Use-of-system kWh + Demand charges (kVA or kW) x demand + service and administration charges + contribution to subsidies/surcharges + ancillary services + technical losses</w:t>
      </w:r>
    </w:p>
    <w:p w14:paraId="3D82CA83" w14:textId="65634B19" w:rsidR="00992CB1" w:rsidRPr="009306B6" w:rsidRDefault="007D39E3" w:rsidP="00871EE8">
      <w:pPr>
        <w:pStyle w:val="BodyText"/>
        <w:numPr>
          <w:ilvl w:val="0"/>
          <w:numId w:val="14"/>
        </w:numPr>
        <w:rPr>
          <w:rFonts w:ascii="Century Gothic" w:hAnsi="Century Gothic" w:cs="Arial"/>
        </w:rPr>
      </w:pPr>
      <w:r w:rsidRPr="007D39E3">
        <w:rPr>
          <w:rFonts w:ascii="Century Gothic" w:hAnsi="Century Gothic" w:cs="Arial"/>
        </w:rPr>
        <w:lastRenderedPageBreak/>
        <w:t xml:space="preserve">Energy charge for Licensee supplied energy = (Total energy – Wheeled Energy) x unbundled energy charge </w:t>
      </w:r>
    </w:p>
    <w:p w14:paraId="47005425" w14:textId="52CC8D7C" w:rsidR="00F35045" w:rsidRPr="00991C58" w:rsidRDefault="00151A34" w:rsidP="00871EE8">
      <w:pPr>
        <w:pStyle w:val="BodyText"/>
        <w:numPr>
          <w:ilvl w:val="0"/>
          <w:numId w:val="14"/>
        </w:numPr>
        <w:rPr>
          <w:rFonts w:ascii="Century Gothic" w:hAnsi="Century Gothic" w:cs="Arial"/>
        </w:rPr>
      </w:pPr>
      <w:r w:rsidRPr="00991C58">
        <w:rPr>
          <w:rFonts w:ascii="Century Gothic" w:hAnsi="Century Gothic"/>
          <w:noProof/>
        </w:rPr>
        <w:drawing>
          <wp:anchor distT="0" distB="0" distL="114300" distR="114300" simplePos="0" relativeHeight="251658240" behindDoc="0" locked="0" layoutInCell="1" allowOverlap="1" wp14:anchorId="6691FECB" wp14:editId="23B1BBFF">
            <wp:simplePos x="0" y="0"/>
            <wp:positionH relativeFrom="margin">
              <wp:posOffset>218440</wp:posOffset>
            </wp:positionH>
            <wp:positionV relativeFrom="paragraph">
              <wp:posOffset>615950</wp:posOffset>
            </wp:positionV>
            <wp:extent cx="3507740" cy="541020"/>
            <wp:effectExtent l="76200" t="76200" r="130810" b="125730"/>
            <wp:wrapTopAndBottom/>
            <wp:docPr id="157159807" name="Picture 157159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07740" cy="5410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9166B6">
        <w:rPr>
          <w:rFonts w:ascii="Century Gothic" w:hAnsi="Century Gothic" w:cs="Arial"/>
        </w:rPr>
        <w:t>In this example the ‘’credit’’</w:t>
      </w:r>
      <w:r w:rsidR="007303FB" w:rsidRPr="00991C58">
        <w:rPr>
          <w:rFonts w:ascii="Century Gothic" w:hAnsi="Century Gothic" w:cs="Arial"/>
        </w:rPr>
        <w:t xml:space="preserve"> </w:t>
      </w:r>
      <w:r w:rsidR="00571099">
        <w:rPr>
          <w:rFonts w:ascii="Century Gothic" w:hAnsi="Century Gothic" w:cs="Arial"/>
        </w:rPr>
        <w:t xml:space="preserve">has </w:t>
      </w:r>
      <w:r w:rsidR="007303FB" w:rsidRPr="00991C58">
        <w:rPr>
          <w:rFonts w:ascii="Century Gothic" w:hAnsi="Century Gothic" w:cs="Arial"/>
        </w:rPr>
        <w:t xml:space="preserve">been built into </w:t>
      </w:r>
      <w:r w:rsidR="008242C4" w:rsidRPr="00991C58">
        <w:rPr>
          <w:rFonts w:ascii="Century Gothic" w:hAnsi="Century Gothic" w:cs="Arial"/>
        </w:rPr>
        <w:t xml:space="preserve">the </w:t>
      </w:r>
      <w:r w:rsidR="00D14C32" w:rsidRPr="00991C58">
        <w:rPr>
          <w:rFonts w:ascii="Century Gothic" w:hAnsi="Century Gothic" w:cs="Arial"/>
        </w:rPr>
        <w:t>rate per kWh (bundled tariff</w:t>
      </w:r>
      <w:r w:rsidR="005B71C3" w:rsidRPr="00991C58">
        <w:rPr>
          <w:rFonts w:ascii="Century Gothic" w:hAnsi="Century Gothic" w:cs="Arial"/>
        </w:rPr>
        <w:t>) i.e., the customer is charged R0.</w:t>
      </w:r>
      <w:r w:rsidR="00A2786F" w:rsidRPr="00991C58">
        <w:rPr>
          <w:rFonts w:ascii="Century Gothic" w:hAnsi="Century Gothic" w:cs="Arial"/>
        </w:rPr>
        <w:t xml:space="preserve">80 </w:t>
      </w:r>
      <w:r w:rsidR="00224523" w:rsidRPr="00991C58">
        <w:rPr>
          <w:rFonts w:ascii="Century Gothic" w:hAnsi="Century Gothic" w:cs="Arial"/>
        </w:rPr>
        <w:t>per kWh (R1</w:t>
      </w:r>
      <w:r w:rsidR="00B14F6D" w:rsidRPr="00991C58">
        <w:rPr>
          <w:rFonts w:ascii="Century Gothic" w:hAnsi="Century Gothic" w:cs="Arial"/>
        </w:rPr>
        <w:t xml:space="preserve"> minus R0.20 credit = effective rate of R0.80)</w:t>
      </w:r>
      <w:r w:rsidR="00571099">
        <w:rPr>
          <w:rFonts w:ascii="Century Gothic" w:hAnsi="Century Gothic" w:cs="Arial"/>
        </w:rPr>
        <w:t>. O</w:t>
      </w:r>
      <w:r w:rsidR="007B5CC6" w:rsidRPr="00991C58">
        <w:rPr>
          <w:rFonts w:ascii="Century Gothic" w:hAnsi="Century Gothic" w:cs="Arial"/>
        </w:rPr>
        <w:t>nly the rate of R0.80 is shown on the bill.</w:t>
      </w:r>
    </w:p>
    <w:p w14:paraId="338AE573" w14:textId="7D885EA1" w:rsidR="00222202" w:rsidRDefault="00B32B30" w:rsidP="00222202">
      <w:pPr>
        <w:rPr>
          <w:rFonts w:ascii="Century Gothic" w:hAnsi="Century Gothic"/>
          <w:u w:val="single"/>
        </w:rPr>
      </w:pPr>
      <w:r w:rsidRPr="00B32B30">
        <w:rPr>
          <w:rFonts w:ascii="Century Gothic" w:hAnsi="Century Gothic"/>
          <w:u w:val="single"/>
        </w:rPr>
        <w:t xml:space="preserve">Service and administration costs  </w:t>
      </w:r>
    </w:p>
    <w:p w14:paraId="4F17DB08" w14:textId="0C5CB1A1" w:rsidR="00BE492E" w:rsidRPr="00BE492E" w:rsidRDefault="00BE492E" w:rsidP="00BE492E">
      <w:pPr>
        <w:pStyle w:val="BodyText"/>
        <w:rPr>
          <w:rFonts w:ascii="Century Gothic" w:hAnsi="Century Gothic" w:cs="Arial"/>
        </w:rPr>
      </w:pPr>
      <w:r w:rsidRPr="00BE492E">
        <w:rPr>
          <w:rFonts w:ascii="Century Gothic" w:hAnsi="Century Gothic" w:cs="Arial"/>
        </w:rPr>
        <w:t>If there are additional administration costs associated with the wheeling transaction, the Licensee</w:t>
      </w:r>
      <w:r>
        <w:rPr>
          <w:rFonts w:ascii="Century Gothic" w:hAnsi="Century Gothic" w:cs="Arial"/>
        </w:rPr>
        <w:t xml:space="preserve"> (</w:t>
      </w:r>
      <w:r w:rsidR="00571099">
        <w:rPr>
          <w:rFonts w:ascii="Century Gothic" w:hAnsi="Century Gothic" w:cs="Arial"/>
        </w:rPr>
        <w:t>i.e.</w:t>
      </w:r>
      <w:r>
        <w:rPr>
          <w:rFonts w:ascii="Century Gothic" w:hAnsi="Century Gothic" w:cs="Arial"/>
        </w:rPr>
        <w:t xml:space="preserve"> the </w:t>
      </w:r>
      <w:r w:rsidR="006B2932">
        <w:rPr>
          <w:rFonts w:ascii="Century Gothic" w:hAnsi="Century Gothic" w:cs="Arial"/>
        </w:rPr>
        <w:t xml:space="preserve">Municipality) </w:t>
      </w:r>
      <w:r w:rsidR="006B2932" w:rsidRPr="00BE492E">
        <w:rPr>
          <w:rFonts w:ascii="Century Gothic" w:hAnsi="Century Gothic" w:cs="Arial"/>
        </w:rPr>
        <w:t>shall</w:t>
      </w:r>
      <w:r w:rsidRPr="00BE492E">
        <w:rPr>
          <w:rFonts w:ascii="Century Gothic" w:hAnsi="Century Gothic" w:cs="Arial"/>
        </w:rPr>
        <w:t xml:space="preserve"> be entitled to recover such costs for the wheeling transaction.</w:t>
      </w:r>
    </w:p>
    <w:p w14:paraId="613A9A3F" w14:textId="276DD2B6" w:rsidR="00BE492E" w:rsidRPr="00BE492E" w:rsidRDefault="00BE492E" w:rsidP="00871EE8">
      <w:pPr>
        <w:pStyle w:val="BodyText"/>
        <w:numPr>
          <w:ilvl w:val="0"/>
          <w:numId w:val="14"/>
        </w:numPr>
        <w:rPr>
          <w:rFonts w:ascii="Century Gothic" w:hAnsi="Century Gothic" w:cs="Arial"/>
        </w:rPr>
      </w:pPr>
      <w:r w:rsidRPr="00BE492E">
        <w:rPr>
          <w:rFonts w:ascii="Century Gothic" w:hAnsi="Century Gothic" w:cs="Arial"/>
        </w:rPr>
        <w:t>The justification of the fair allocated costs and the tariff charges shall be done through a cost of supply study considering metering, billing, reconciliation, data management, and other related administrative costs.</w:t>
      </w:r>
    </w:p>
    <w:p w14:paraId="203C42A6" w14:textId="23A5BAE4" w:rsidR="00BE492E" w:rsidRPr="00BE492E" w:rsidRDefault="00BE492E" w:rsidP="00871EE8">
      <w:pPr>
        <w:pStyle w:val="BodyText"/>
        <w:numPr>
          <w:ilvl w:val="0"/>
          <w:numId w:val="14"/>
        </w:numPr>
        <w:rPr>
          <w:rFonts w:ascii="Century Gothic" w:hAnsi="Century Gothic" w:cs="Arial"/>
        </w:rPr>
      </w:pPr>
      <w:r w:rsidRPr="00BE492E">
        <w:rPr>
          <w:rFonts w:ascii="Century Gothic" w:hAnsi="Century Gothic" w:cs="Arial"/>
        </w:rPr>
        <w:t>Fair charges shall be justified by the Licensee based on the above costs and approved by NERSA to cover the additional administrative costs associated with the wheeling transaction. If a cost</w:t>
      </w:r>
      <w:r w:rsidR="001B456B">
        <w:rPr>
          <w:rFonts w:ascii="Century Gothic" w:hAnsi="Century Gothic" w:cs="Arial"/>
        </w:rPr>
        <w:t xml:space="preserve"> </w:t>
      </w:r>
      <w:r w:rsidRPr="00BE492E">
        <w:rPr>
          <w:rFonts w:ascii="Century Gothic" w:hAnsi="Century Gothic" w:cs="Arial"/>
        </w:rPr>
        <w:t>of</w:t>
      </w:r>
      <w:r w:rsidR="001B456B">
        <w:rPr>
          <w:rFonts w:ascii="Century Gothic" w:hAnsi="Century Gothic" w:cs="Arial"/>
        </w:rPr>
        <w:t xml:space="preserve"> </w:t>
      </w:r>
      <w:r w:rsidRPr="00BE492E">
        <w:rPr>
          <w:rFonts w:ascii="Century Gothic" w:hAnsi="Century Gothic" w:cs="Arial"/>
        </w:rPr>
        <w:t xml:space="preserve">supply </w:t>
      </w:r>
      <w:r w:rsidR="001B456B">
        <w:rPr>
          <w:rFonts w:ascii="Century Gothic" w:hAnsi="Century Gothic" w:cs="Arial"/>
        </w:rPr>
        <w:t xml:space="preserve">study </w:t>
      </w:r>
      <w:r w:rsidRPr="00BE492E">
        <w:rPr>
          <w:rFonts w:ascii="Century Gothic" w:hAnsi="Century Gothic" w:cs="Arial"/>
        </w:rPr>
        <w:t>has not yet been done on which tariffs can be designed, then in the interim the administration charges as approved by NERSA will be utilised in the justification of the costs by the Licensee</w:t>
      </w:r>
      <w:r w:rsidR="00F018F9">
        <w:rPr>
          <w:rFonts w:ascii="Century Gothic" w:hAnsi="Century Gothic" w:cs="Arial"/>
        </w:rPr>
        <w:t>.</w:t>
      </w:r>
    </w:p>
    <w:p w14:paraId="6BC8C8E6" w14:textId="1D906E94" w:rsidR="00586C5B" w:rsidRPr="00081623" w:rsidRDefault="00BE492E" w:rsidP="00871EE8">
      <w:pPr>
        <w:pStyle w:val="BodyText"/>
        <w:numPr>
          <w:ilvl w:val="0"/>
          <w:numId w:val="14"/>
        </w:numPr>
        <w:rPr>
          <w:rFonts w:ascii="Century Gothic" w:hAnsi="Century Gothic" w:cs="Arial"/>
        </w:rPr>
      </w:pPr>
      <w:r w:rsidRPr="00BE492E">
        <w:rPr>
          <w:rFonts w:ascii="Century Gothic" w:hAnsi="Century Gothic" w:cs="Arial"/>
        </w:rPr>
        <w:t>Administration charges should not create undue financial burdens for the parties involved or become a burden impacting other customers’ tariffs negatively by being cross-subsidised.</w:t>
      </w:r>
    </w:p>
    <w:p w14:paraId="4BDF2694" w14:textId="7413BC65" w:rsidR="00081623" w:rsidRPr="00A609FC" w:rsidRDefault="00081623" w:rsidP="00222202">
      <w:pPr>
        <w:rPr>
          <w:rFonts w:ascii="Century Gothic" w:hAnsi="Century Gothic"/>
          <w:u w:val="single"/>
        </w:rPr>
      </w:pPr>
      <w:r w:rsidRPr="00A609FC">
        <w:rPr>
          <w:rFonts w:cstheme="minorHAnsi"/>
          <w:noProof/>
          <w:u w:val="single"/>
        </w:rPr>
        <w:drawing>
          <wp:anchor distT="0" distB="0" distL="114300" distR="114300" simplePos="0" relativeHeight="251658257" behindDoc="0" locked="0" layoutInCell="1" allowOverlap="1" wp14:anchorId="488BA825" wp14:editId="2489B284">
            <wp:simplePos x="0" y="0"/>
            <wp:positionH relativeFrom="margin">
              <wp:align>left</wp:align>
            </wp:positionH>
            <wp:positionV relativeFrom="paragraph">
              <wp:posOffset>306045</wp:posOffset>
            </wp:positionV>
            <wp:extent cx="4620895" cy="2148205"/>
            <wp:effectExtent l="76200" t="76200" r="141605" b="137795"/>
            <wp:wrapTopAndBottom/>
            <wp:docPr id="864403156" name="Picture 864403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671067" cy="21714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222202" w:rsidRPr="00A609FC">
        <w:rPr>
          <w:rFonts w:ascii="Century Gothic" w:hAnsi="Century Gothic"/>
          <w:u w:val="single"/>
        </w:rPr>
        <w:t>Below further illustrates the two options</w:t>
      </w:r>
      <w:r w:rsidR="00A609FC" w:rsidRPr="00A609FC">
        <w:rPr>
          <w:rFonts w:ascii="Century Gothic" w:hAnsi="Century Gothic"/>
          <w:u w:val="single"/>
        </w:rPr>
        <w:t>:</w:t>
      </w:r>
      <w:r w:rsidR="00B32B30" w:rsidRPr="00B32B30">
        <w:t xml:space="preserve"> </w:t>
      </w:r>
      <w:r w:rsidR="00B32B30" w:rsidRPr="00B32B30">
        <w:rPr>
          <w:rFonts w:ascii="Century Gothic" w:hAnsi="Century Gothic"/>
          <w:u w:val="single"/>
        </w:rPr>
        <w:t xml:space="preserve"> </w:t>
      </w:r>
    </w:p>
    <w:p w14:paraId="1A6ED01F" w14:textId="511271EE" w:rsidR="00DA675B" w:rsidRPr="00991C58" w:rsidRDefault="00CD74DF" w:rsidP="003B5A1C">
      <w:pPr>
        <w:rPr>
          <w:rFonts w:ascii="Century Gothic" w:hAnsi="Century Gothic"/>
          <w:u w:val="single"/>
        </w:rPr>
      </w:pPr>
      <w:r w:rsidRPr="00991C58">
        <w:rPr>
          <w:rFonts w:ascii="Century Gothic" w:hAnsi="Century Gothic"/>
          <w:u w:val="single"/>
        </w:rPr>
        <w:t>Billing</w:t>
      </w:r>
      <w:r w:rsidR="009A58D8">
        <w:rPr>
          <w:rFonts w:ascii="Century Gothic" w:hAnsi="Century Gothic"/>
          <w:u w:val="single"/>
        </w:rPr>
        <w:t xml:space="preserve"> process and </w:t>
      </w:r>
      <w:r w:rsidR="00947BCD">
        <w:rPr>
          <w:rFonts w:ascii="Century Gothic" w:hAnsi="Century Gothic"/>
          <w:u w:val="single"/>
        </w:rPr>
        <w:t>methodology</w:t>
      </w:r>
      <w:r w:rsidRPr="00991C58">
        <w:rPr>
          <w:rFonts w:ascii="Century Gothic" w:hAnsi="Century Gothic"/>
          <w:u w:val="single"/>
        </w:rPr>
        <w:t>:</w:t>
      </w:r>
    </w:p>
    <w:p w14:paraId="14815B41" w14:textId="0A4E5CEC" w:rsidR="00AD2A8B" w:rsidRPr="00AD2A8B" w:rsidRDefault="00AD2A8B" w:rsidP="00871EE8">
      <w:pPr>
        <w:numPr>
          <w:ilvl w:val="0"/>
          <w:numId w:val="48"/>
        </w:numPr>
        <w:spacing w:before="60" w:after="60" w:line="240" w:lineRule="auto"/>
        <w:ind w:left="357" w:hanging="357"/>
        <w:rPr>
          <w:rFonts w:ascii="Century Gothic" w:eastAsia="Times New Roman" w:hAnsi="Century Gothic" w:cs="Segoe UI"/>
        </w:rPr>
      </w:pPr>
      <w:r w:rsidRPr="00AD2A8B">
        <w:rPr>
          <w:rFonts w:ascii="Century Gothic" w:eastAsia="Times New Roman" w:hAnsi="Century Gothic" w:cs="Segoe UI"/>
        </w:rPr>
        <w:t>Two billing time periods used</w:t>
      </w:r>
      <w:r w:rsidR="00DE701A">
        <w:rPr>
          <w:rFonts w:ascii="Century Gothic" w:eastAsia="Times New Roman" w:hAnsi="Century Gothic" w:cs="Segoe UI"/>
        </w:rPr>
        <w:t xml:space="preserve"> may be used</w:t>
      </w:r>
      <w:r w:rsidR="007A58CA">
        <w:rPr>
          <w:rFonts w:ascii="Century Gothic" w:eastAsia="Times New Roman" w:hAnsi="Century Gothic" w:cs="Segoe UI"/>
        </w:rPr>
        <w:t>,</w:t>
      </w:r>
      <w:r w:rsidR="00DE701A">
        <w:rPr>
          <w:rFonts w:ascii="Century Gothic" w:eastAsia="Times New Roman" w:hAnsi="Century Gothic" w:cs="Segoe UI"/>
        </w:rPr>
        <w:t xml:space="preserve"> being the </w:t>
      </w:r>
      <w:r w:rsidRPr="00AD2A8B">
        <w:rPr>
          <w:rFonts w:ascii="Century Gothic" w:eastAsia="Times New Roman" w:hAnsi="Century Gothic" w:cs="Segoe UI"/>
        </w:rPr>
        <w:t>Total per Time-of-Use (TOU) period and per 30-minute interval.</w:t>
      </w:r>
    </w:p>
    <w:p w14:paraId="08BE0293" w14:textId="16283804" w:rsidR="00AD2A8B" w:rsidRPr="00AD2A8B" w:rsidRDefault="00AD2A8B" w:rsidP="00871EE8">
      <w:pPr>
        <w:numPr>
          <w:ilvl w:val="0"/>
          <w:numId w:val="48"/>
        </w:numPr>
        <w:spacing w:before="60" w:after="60" w:line="240" w:lineRule="auto"/>
        <w:ind w:left="357" w:hanging="357"/>
        <w:rPr>
          <w:rFonts w:ascii="Century Gothic" w:eastAsia="Times New Roman" w:hAnsi="Century Gothic" w:cs="Segoe UI"/>
        </w:rPr>
      </w:pPr>
      <w:r w:rsidRPr="00AD2A8B">
        <w:rPr>
          <w:rFonts w:ascii="Century Gothic" w:eastAsia="Times New Roman" w:hAnsi="Century Gothic" w:cs="Segoe UI"/>
        </w:rPr>
        <w:t>Eskom follows</w:t>
      </w:r>
      <w:r w:rsidR="002A3437">
        <w:rPr>
          <w:rFonts w:ascii="Century Gothic" w:eastAsia="Times New Roman" w:hAnsi="Century Gothic" w:cs="Segoe UI"/>
        </w:rPr>
        <w:t xml:space="preserve"> the</w:t>
      </w:r>
      <w:r w:rsidRPr="00AD2A8B">
        <w:rPr>
          <w:rFonts w:ascii="Century Gothic" w:eastAsia="Times New Roman" w:hAnsi="Century Gothic" w:cs="Segoe UI"/>
        </w:rPr>
        <w:t xml:space="preserve"> TOU methodology; customers/generators not on TOU tariffs may need to change in the future.</w:t>
      </w:r>
      <w:r w:rsidR="0037442B">
        <w:rPr>
          <w:rFonts w:ascii="Century Gothic" w:eastAsia="Times New Roman" w:hAnsi="Century Gothic" w:cs="Segoe UI"/>
        </w:rPr>
        <w:t xml:space="preserve"> T</w:t>
      </w:r>
      <w:r w:rsidRPr="00AD2A8B">
        <w:rPr>
          <w:rFonts w:ascii="Century Gothic" w:eastAsia="Times New Roman" w:hAnsi="Century Gothic" w:cs="Segoe UI"/>
        </w:rPr>
        <w:t>OU tariffs are designed to encourage customers to use electricity during off-peak hours when demand is lower, which helps to balance the load on the grid and can lead to cost savings. As the market matures and trading develops, more customers/generators may transition to TOU tariffs.</w:t>
      </w:r>
    </w:p>
    <w:p w14:paraId="2B39509E" w14:textId="041BE51F" w:rsidR="00D64F96" w:rsidRDefault="00DC64CD" w:rsidP="00871EE8">
      <w:pPr>
        <w:numPr>
          <w:ilvl w:val="0"/>
          <w:numId w:val="48"/>
        </w:numPr>
        <w:spacing w:before="60" w:after="60" w:line="240" w:lineRule="auto"/>
        <w:ind w:left="357" w:hanging="357"/>
        <w:rPr>
          <w:rFonts w:ascii="Century Gothic" w:eastAsia="Times New Roman" w:hAnsi="Century Gothic" w:cs="Segoe UI"/>
        </w:rPr>
      </w:pPr>
      <w:r>
        <w:rPr>
          <w:rFonts w:ascii="Century Gothic" w:eastAsia="Times New Roman" w:hAnsi="Century Gothic" w:cs="Segoe UI"/>
        </w:rPr>
        <w:t xml:space="preserve">The </w:t>
      </w:r>
      <w:r w:rsidR="00AD2A8B" w:rsidRPr="00AD2A8B">
        <w:rPr>
          <w:rFonts w:ascii="Century Gothic" w:eastAsia="Times New Roman" w:hAnsi="Century Gothic" w:cs="Segoe UI"/>
        </w:rPr>
        <w:t>Municipality's Wheeling Approach</w:t>
      </w:r>
      <w:r w:rsidR="0037442B">
        <w:rPr>
          <w:rFonts w:ascii="Century Gothic" w:eastAsia="Times New Roman" w:hAnsi="Century Gothic" w:cs="Segoe UI"/>
        </w:rPr>
        <w:t xml:space="preserve"> may need to be s</w:t>
      </w:r>
      <w:r w:rsidR="00AD2A8B" w:rsidRPr="00AD2A8B">
        <w:rPr>
          <w:rFonts w:ascii="Century Gothic" w:eastAsia="Times New Roman" w:hAnsi="Century Gothic" w:cs="Segoe UI"/>
        </w:rPr>
        <w:t>imilar to Eskom's methodology.</w:t>
      </w:r>
      <w:r w:rsidR="0037442B">
        <w:rPr>
          <w:rFonts w:ascii="Century Gothic" w:eastAsia="Times New Roman" w:hAnsi="Century Gothic" w:cs="Segoe UI"/>
        </w:rPr>
        <w:t xml:space="preserve"> </w:t>
      </w:r>
      <w:r w:rsidR="00AD2A8B" w:rsidRPr="00AD2A8B">
        <w:rPr>
          <w:rFonts w:ascii="Century Gothic" w:eastAsia="Times New Roman" w:hAnsi="Century Gothic" w:cs="Segoe UI"/>
        </w:rPr>
        <w:t xml:space="preserve">Following a similar approach to Eskom's methodology ensures consistency and </w:t>
      </w:r>
      <w:r w:rsidR="00AD2A8B" w:rsidRPr="00AD2A8B">
        <w:rPr>
          <w:rFonts w:ascii="Century Gothic" w:eastAsia="Times New Roman" w:hAnsi="Century Gothic" w:cs="Segoe UI"/>
        </w:rPr>
        <w:lastRenderedPageBreak/>
        <w:t>compatibility between the Municipality's and Eskom's wheeling processes, making it easier for customers and generators to transition between the two systems.</w:t>
      </w:r>
    </w:p>
    <w:p w14:paraId="1F5C4EE6" w14:textId="14A4D8B7" w:rsidR="00DC7BA2" w:rsidRDefault="00D64F96" w:rsidP="00871EE8">
      <w:pPr>
        <w:numPr>
          <w:ilvl w:val="0"/>
          <w:numId w:val="48"/>
        </w:numPr>
        <w:spacing w:before="60" w:after="60" w:line="240" w:lineRule="auto"/>
        <w:ind w:left="357" w:hanging="357"/>
        <w:rPr>
          <w:rFonts w:ascii="Century Gothic" w:eastAsia="Times New Roman" w:hAnsi="Century Gothic" w:cs="Segoe UI"/>
        </w:rPr>
      </w:pPr>
      <w:r>
        <w:rPr>
          <w:rFonts w:ascii="Century Gothic" w:eastAsia="Times New Roman" w:hAnsi="Century Gothic" w:cs="Segoe UI"/>
        </w:rPr>
        <w:t xml:space="preserve">The </w:t>
      </w:r>
      <w:r w:rsidR="00AD2A8B" w:rsidRPr="00AD2A8B">
        <w:rPr>
          <w:rFonts w:ascii="Century Gothic" w:eastAsia="Times New Roman" w:hAnsi="Century Gothic" w:cs="Segoe UI"/>
        </w:rPr>
        <w:t xml:space="preserve">Off-taker's account </w:t>
      </w:r>
      <w:r w:rsidR="00616E8F">
        <w:rPr>
          <w:rFonts w:ascii="Century Gothic" w:eastAsia="Times New Roman" w:hAnsi="Century Gothic" w:cs="Segoe UI"/>
        </w:rPr>
        <w:t xml:space="preserve">is </w:t>
      </w:r>
      <w:r w:rsidR="00AD2A8B" w:rsidRPr="00AD2A8B">
        <w:rPr>
          <w:rFonts w:ascii="Century Gothic" w:eastAsia="Times New Roman" w:hAnsi="Century Gothic" w:cs="Segoe UI"/>
        </w:rPr>
        <w:t>credited with received wheeled energy value, adjusted for losses using wholesale energy pricing structure (WEPS</w:t>
      </w:r>
      <w:r w:rsidR="005038FD" w:rsidRPr="00AD2A8B">
        <w:rPr>
          <w:rFonts w:ascii="Century Gothic" w:eastAsia="Times New Roman" w:hAnsi="Century Gothic" w:cs="Segoe UI"/>
        </w:rPr>
        <w:t>). Crediting</w:t>
      </w:r>
      <w:r w:rsidR="00AD2A8B" w:rsidRPr="00AD2A8B">
        <w:rPr>
          <w:rFonts w:ascii="Century Gothic" w:eastAsia="Times New Roman" w:hAnsi="Century Gothic" w:cs="Segoe UI"/>
        </w:rPr>
        <w:t xml:space="preserve"> the off-taker's account for wheeled energy, </w:t>
      </w:r>
      <w:r w:rsidR="0033490D">
        <w:rPr>
          <w:rFonts w:ascii="Century Gothic" w:eastAsia="Times New Roman" w:hAnsi="Century Gothic" w:cs="Segoe UI"/>
        </w:rPr>
        <w:t xml:space="preserve">and </w:t>
      </w:r>
      <w:r w:rsidR="00AD2A8B" w:rsidRPr="00AD2A8B">
        <w:rPr>
          <w:rFonts w:ascii="Century Gothic" w:eastAsia="Times New Roman" w:hAnsi="Century Gothic" w:cs="Segoe UI"/>
        </w:rPr>
        <w:t>considering losses, ensures fair compensation for both the customer and the generator based on actual energy received and consumed.</w:t>
      </w:r>
    </w:p>
    <w:p w14:paraId="3DD6EF0D" w14:textId="77777777" w:rsidR="00DC7BA2" w:rsidRDefault="00AD2A8B" w:rsidP="00871EE8">
      <w:pPr>
        <w:numPr>
          <w:ilvl w:val="0"/>
          <w:numId w:val="48"/>
        </w:numPr>
        <w:spacing w:before="60" w:after="60" w:line="240" w:lineRule="auto"/>
        <w:ind w:left="357" w:hanging="357"/>
        <w:rPr>
          <w:rFonts w:ascii="Century Gothic" w:eastAsia="Times New Roman" w:hAnsi="Century Gothic" w:cs="Segoe UI"/>
        </w:rPr>
      </w:pPr>
      <w:r w:rsidRPr="00AD2A8B">
        <w:rPr>
          <w:rFonts w:ascii="Century Gothic" w:eastAsia="Times New Roman" w:hAnsi="Century Gothic" w:cs="Segoe UI"/>
        </w:rPr>
        <w:t>For Eskom-connected generators, credits pass through Municipal account to Off-taker's account.</w:t>
      </w:r>
      <w:r w:rsidR="00DC7BA2">
        <w:rPr>
          <w:rFonts w:ascii="Century Gothic" w:eastAsia="Times New Roman" w:hAnsi="Century Gothic" w:cs="Segoe UI"/>
        </w:rPr>
        <w:t xml:space="preserve"> </w:t>
      </w:r>
      <w:r w:rsidRPr="00AD2A8B">
        <w:rPr>
          <w:rFonts w:ascii="Century Gothic" w:eastAsia="Times New Roman" w:hAnsi="Century Gothic" w:cs="Segoe UI"/>
        </w:rPr>
        <w:t>This ensures a smooth flow of funds and accurate accounting for energy transactions between the generator, Eskom, and the Municipality.</w:t>
      </w:r>
    </w:p>
    <w:p w14:paraId="0A62B60D" w14:textId="27FF9565" w:rsidR="00AD2A8B" w:rsidRPr="00AD2A8B" w:rsidRDefault="00AD2A8B" w:rsidP="00871EE8">
      <w:pPr>
        <w:numPr>
          <w:ilvl w:val="0"/>
          <w:numId w:val="48"/>
        </w:numPr>
        <w:spacing w:before="60" w:after="60" w:line="240" w:lineRule="auto"/>
        <w:ind w:left="357" w:hanging="357"/>
        <w:rPr>
          <w:rFonts w:ascii="Century Gothic" w:eastAsia="Times New Roman" w:hAnsi="Century Gothic" w:cs="Segoe UI"/>
        </w:rPr>
      </w:pPr>
      <w:r w:rsidRPr="00AD2A8B">
        <w:rPr>
          <w:rFonts w:ascii="Century Gothic" w:eastAsia="Times New Roman" w:hAnsi="Century Gothic" w:cs="Segoe UI"/>
        </w:rPr>
        <w:t xml:space="preserve">For Municipal-connected generators, </w:t>
      </w:r>
      <w:r w:rsidR="00EE2114">
        <w:rPr>
          <w:rFonts w:ascii="Century Gothic" w:eastAsia="Times New Roman" w:hAnsi="Century Gothic" w:cs="Segoe UI"/>
        </w:rPr>
        <w:t xml:space="preserve">the </w:t>
      </w:r>
      <w:r w:rsidRPr="00AD2A8B">
        <w:rPr>
          <w:rFonts w:ascii="Century Gothic" w:eastAsia="Times New Roman" w:hAnsi="Century Gothic" w:cs="Segoe UI"/>
        </w:rPr>
        <w:t xml:space="preserve">Municipality generates wheeling credits based on energy metered at </w:t>
      </w:r>
      <w:r w:rsidR="00EE2114">
        <w:rPr>
          <w:rFonts w:ascii="Century Gothic" w:eastAsia="Times New Roman" w:hAnsi="Century Gothic" w:cs="Segoe UI"/>
        </w:rPr>
        <w:t xml:space="preserve">the </w:t>
      </w:r>
      <w:r w:rsidRPr="00AD2A8B">
        <w:rPr>
          <w:rFonts w:ascii="Century Gothic" w:eastAsia="Times New Roman" w:hAnsi="Century Gothic" w:cs="Segoe UI"/>
        </w:rPr>
        <w:t>Generator's supply point.</w:t>
      </w:r>
      <w:r w:rsidR="00DC7BA2">
        <w:rPr>
          <w:rFonts w:ascii="Century Gothic" w:eastAsia="Times New Roman" w:hAnsi="Century Gothic" w:cs="Segoe UI"/>
        </w:rPr>
        <w:t xml:space="preserve"> </w:t>
      </w:r>
      <w:r w:rsidRPr="00AD2A8B">
        <w:rPr>
          <w:rFonts w:ascii="Century Gothic" w:eastAsia="Times New Roman" w:hAnsi="Century Gothic" w:cs="Segoe UI"/>
        </w:rPr>
        <w:t xml:space="preserve">Generating wheeling credits based on actual metered energy at the generator's supply point </w:t>
      </w:r>
      <w:r w:rsidR="004951FC">
        <w:rPr>
          <w:rFonts w:ascii="Century Gothic" w:eastAsia="Times New Roman" w:hAnsi="Century Gothic" w:cs="Segoe UI"/>
        </w:rPr>
        <w:t>provides</w:t>
      </w:r>
      <w:r w:rsidR="004951FC" w:rsidRPr="00AD2A8B">
        <w:rPr>
          <w:rFonts w:ascii="Century Gothic" w:eastAsia="Times New Roman" w:hAnsi="Century Gothic" w:cs="Segoe UI"/>
        </w:rPr>
        <w:t xml:space="preserve"> </w:t>
      </w:r>
      <w:r w:rsidRPr="00AD2A8B">
        <w:rPr>
          <w:rFonts w:ascii="Century Gothic" w:eastAsia="Times New Roman" w:hAnsi="Century Gothic" w:cs="Segoe UI"/>
        </w:rPr>
        <w:t>transparency and accuracy in accounting for energy transactions within the Municipality's grid.</w:t>
      </w:r>
    </w:p>
    <w:p w14:paraId="757806ED" w14:textId="0CED6671" w:rsidR="00AD2A8B" w:rsidRPr="00AD2A8B" w:rsidRDefault="00A75D22" w:rsidP="00871EE8">
      <w:pPr>
        <w:numPr>
          <w:ilvl w:val="0"/>
          <w:numId w:val="48"/>
        </w:numPr>
        <w:spacing w:before="60" w:after="60" w:line="240" w:lineRule="auto"/>
        <w:ind w:left="357" w:hanging="357"/>
        <w:rPr>
          <w:rFonts w:ascii="Century Gothic" w:eastAsia="Times New Roman" w:hAnsi="Century Gothic" w:cs="Segoe UI"/>
        </w:rPr>
      </w:pPr>
      <w:r>
        <w:rPr>
          <w:rFonts w:ascii="Century Gothic" w:eastAsia="Times New Roman" w:hAnsi="Century Gothic" w:cs="Segoe UI"/>
        </w:rPr>
        <w:t>Data retrieval from s</w:t>
      </w:r>
      <w:r w:rsidR="00AD2A8B" w:rsidRPr="00AD2A8B">
        <w:rPr>
          <w:rFonts w:ascii="Century Gothic" w:eastAsia="Times New Roman" w:hAnsi="Century Gothic" w:cs="Segoe UI"/>
        </w:rPr>
        <w:t>mart meters at Generators (</w:t>
      </w:r>
      <w:r>
        <w:rPr>
          <w:rFonts w:ascii="Century Gothic" w:eastAsia="Times New Roman" w:hAnsi="Century Gothic" w:cs="Segoe UI"/>
        </w:rPr>
        <w:t xml:space="preserve">either </w:t>
      </w:r>
      <w:r w:rsidR="00AD2A8B" w:rsidRPr="00AD2A8B">
        <w:rPr>
          <w:rFonts w:ascii="Century Gothic" w:eastAsia="Times New Roman" w:hAnsi="Century Gothic" w:cs="Segoe UI"/>
        </w:rPr>
        <w:t>Eskom or Municipal</w:t>
      </w:r>
      <w:r>
        <w:rPr>
          <w:rFonts w:ascii="Century Gothic" w:eastAsia="Times New Roman" w:hAnsi="Century Gothic" w:cs="Segoe UI"/>
        </w:rPr>
        <w:t xml:space="preserve"> meters</w:t>
      </w:r>
      <w:r w:rsidR="00AD2A8B" w:rsidRPr="00AD2A8B">
        <w:rPr>
          <w:rFonts w:ascii="Century Gothic" w:eastAsia="Times New Roman" w:hAnsi="Century Gothic" w:cs="Segoe UI"/>
        </w:rPr>
        <w:t xml:space="preserve">) or data retrieval from </w:t>
      </w:r>
      <w:r w:rsidR="00ED0F97">
        <w:rPr>
          <w:rFonts w:ascii="Century Gothic" w:eastAsia="Times New Roman" w:hAnsi="Century Gothic" w:cs="Segoe UI"/>
        </w:rPr>
        <w:t>the</w:t>
      </w:r>
      <w:r w:rsidR="007B37E5">
        <w:rPr>
          <w:rFonts w:ascii="Century Gothic" w:eastAsia="Times New Roman" w:hAnsi="Century Gothic" w:cs="Segoe UI"/>
        </w:rPr>
        <w:t xml:space="preserve"> </w:t>
      </w:r>
      <w:r w:rsidR="00AD2A8B" w:rsidRPr="00AD2A8B">
        <w:rPr>
          <w:rFonts w:ascii="Century Gothic" w:eastAsia="Times New Roman" w:hAnsi="Century Gothic" w:cs="Segoe UI"/>
        </w:rPr>
        <w:t>generator's check meter</w:t>
      </w:r>
      <w:r>
        <w:rPr>
          <w:rFonts w:ascii="Century Gothic" w:eastAsia="Times New Roman" w:hAnsi="Century Gothic" w:cs="Segoe UI"/>
        </w:rPr>
        <w:t xml:space="preserve"> is required. </w:t>
      </w:r>
      <w:r w:rsidR="00AD2A8B" w:rsidRPr="00AD2A8B">
        <w:rPr>
          <w:rFonts w:ascii="Century Gothic" w:eastAsia="Times New Roman" w:hAnsi="Century Gothic" w:cs="Segoe UI"/>
        </w:rPr>
        <w:t>Smart meters provide real-time and accurate data on energy consumption and generation, facilitating efficient billing processes. Retrieving data from the generator's check meter provides backup data for billing accuracy.</w:t>
      </w:r>
    </w:p>
    <w:p w14:paraId="7E54A43D" w14:textId="1FF3AD33" w:rsidR="00AD2A8B" w:rsidRPr="00AD2A8B" w:rsidRDefault="00AD2A8B" w:rsidP="00871EE8">
      <w:pPr>
        <w:numPr>
          <w:ilvl w:val="0"/>
          <w:numId w:val="48"/>
        </w:numPr>
        <w:spacing w:before="60" w:after="60" w:line="240" w:lineRule="auto"/>
        <w:ind w:left="357" w:hanging="357"/>
        <w:rPr>
          <w:rFonts w:ascii="Century Gothic" w:eastAsia="Times New Roman" w:hAnsi="Century Gothic" w:cs="Segoe UI"/>
        </w:rPr>
      </w:pPr>
      <w:r w:rsidRPr="00AD2A8B">
        <w:rPr>
          <w:rFonts w:ascii="Century Gothic" w:eastAsia="Times New Roman" w:hAnsi="Century Gothic" w:cs="Segoe UI"/>
        </w:rPr>
        <w:t xml:space="preserve">Eskom issues </w:t>
      </w:r>
      <w:r w:rsidR="007B37E5">
        <w:rPr>
          <w:rFonts w:ascii="Century Gothic" w:eastAsia="Times New Roman" w:hAnsi="Century Gothic" w:cs="Segoe UI"/>
        </w:rPr>
        <w:t xml:space="preserve">the </w:t>
      </w:r>
      <w:r w:rsidRPr="00AD2A8B">
        <w:rPr>
          <w:rFonts w:ascii="Century Gothic" w:eastAsia="Times New Roman" w:hAnsi="Century Gothic" w:cs="Segoe UI"/>
        </w:rPr>
        <w:t>Municipality an invoice</w:t>
      </w:r>
      <w:r w:rsidR="00CF2B4E">
        <w:rPr>
          <w:rFonts w:ascii="Century Gothic" w:eastAsia="Times New Roman" w:hAnsi="Century Gothic" w:cs="Segoe UI"/>
        </w:rPr>
        <w:t xml:space="preserve"> for all consumption and fixed charged</w:t>
      </w:r>
      <w:r w:rsidRPr="00AD2A8B">
        <w:rPr>
          <w:rFonts w:ascii="Century Gothic" w:eastAsia="Times New Roman" w:hAnsi="Century Gothic" w:cs="Segoe UI"/>
        </w:rPr>
        <w:t xml:space="preserve"> including credit for net exportable power</w:t>
      </w:r>
      <w:r w:rsidR="00CF2B4E">
        <w:rPr>
          <w:rFonts w:ascii="Century Gothic" w:eastAsia="Times New Roman" w:hAnsi="Century Gothic" w:cs="Segoe UI"/>
        </w:rPr>
        <w:t xml:space="preserve"> </w:t>
      </w:r>
      <w:r w:rsidRPr="00AD2A8B">
        <w:rPr>
          <w:rFonts w:ascii="Century Gothic" w:eastAsia="Times New Roman" w:hAnsi="Century Gothic" w:cs="Segoe UI"/>
        </w:rPr>
        <w:t>enabling the Municipality to account for wheeled energy accurately and efficiently in its billing process.</w:t>
      </w:r>
    </w:p>
    <w:p w14:paraId="4246594B" w14:textId="02AAAEEB" w:rsidR="00AD2A8B" w:rsidRPr="00AD2A8B" w:rsidRDefault="00AD2A8B" w:rsidP="00871EE8">
      <w:pPr>
        <w:numPr>
          <w:ilvl w:val="0"/>
          <w:numId w:val="48"/>
        </w:numPr>
        <w:spacing w:before="60" w:after="60" w:line="240" w:lineRule="auto"/>
        <w:ind w:left="357" w:hanging="357"/>
        <w:rPr>
          <w:rFonts w:ascii="Century Gothic" w:eastAsia="Times New Roman" w:hAnsi="Century Gothic" w:cs="Segoe UI"/>
        </w:rPr>
      </w:pPr>
      <w:r w:rsidRPr="00AD2A8B">
        <w:rPr>
          <w:rFonts w:ascii="Century Gothic" w:eastAsia="Times New Roman" w:hAnsi="Century Gothic" w:cs="Segoe UI"/>
        </w:rPr>
        <w:t xml:space="preserve">Customers provide net </w:t>
      </w:r>
      <w:r w:rsidR="002262B8">
        <w:rPr>
          <w:rFonts w:ascii="Century Gothic" w:eastAsia="Times New Roman" w:hAnsi="Century Gothic" w:cs="Segoe UI"/>
        </w:rPr>
        <w:t>billing</w:t>
      </w:r>
      <w:r w:rsidRPr="00AD2A8B">
        <w:rPr>
          <w:rFonts w:ascii="Century Gothic" w:eastAsia="Times New Roman" w:hAnsi="Century Gothic" w:cs="Segoe UI"/>
        </w:rPr>
        <w:t xml:space="preserve"> data; re-allocation based on actual generation and consumption can</w:t>
      </w:r>
      <w:r w:rsidR="00254A24">
        <w:rPr>
          <w:rFonts w:ascii="Century Gothic" w:eastAsia="Times New Roman" w:hAnsi="Century Gothic" w:cs="Segoe UI"/>
        </w:rPr>
        <w:t xml:space="preserve"> then</w:t>
      </w:r>
      <w:r w:rsidRPr="00AD2A8B">
        <w:rPr>
          <w:rFonts w:ascii="Century Gothic" w:eastAsia="Times New Roman" w:hAnsi="Century Gothic" w:cs="Segoe UI"/>
        </w:rPr>
        <w:t xml:space="preserve"> be made.</w:t>
      </w:r>
      <w:r w:rsidR="00EC7C42">
        <w:rPr>
          <w:rFonts w:ascii="Century Gothic" w:eastAsia="Times New Roman" w:hAnsi="Century Gothic" w:cs="Segoe UI"/>
        </w:rPr>
        <w:t xml:space="preserve"> </w:t>
      </w:r>
      <w:r w:rsidRPr="00AD2A8B">
        <w:rPr>
          <w:rFonts w:ascii="Century Gothic" w:eastAsia="Times New Roman" w:hAnsi="Century Gothic" w:cs="Segoe UI"/>
        </w:rPr>
        <w:t xml:space="preserve">Net </w:t>
      </w:r>
      <w:r w:rsidR="00231A3D">
        <w:rPr>
          <w:rFonts w:ascii="Century Gothic" w:eastAsia="Times New Roman" w:hAnsi="Century Gothic" w:cs="Segoe UI"/>
        </w:rPr>
        <w:t>billing</w:t>
      </w:r>
      <w:r w:rsidRPr="00AD2A8B">
        <w:rPr>
          <w:rFonts w:ascii="Century Gothic" w:eastAsia="Times New Roman" w:hAnsi="Century Gothic" w:cs="Segoe UI"/>
        </w:rPr>
        <w:t xml:space="preserve"> data from customers ensures accurate accounting for their energy consumption and generation, allowing for any adjustments needed based on actual usage.</w:t>
      </w:r>
    </w:p>
    <w:p w14:paraId="64458F85" w14:textId="01B2C3DA" w:rsidR="00AD2A8B" w:rsidRPr="00AD2A8B" w:rsidRDefault="00AD2A8B" w:rsidP="00871EE8">
      <w:pPr>
        <w:numPr>
          <w:ilvl w:val="0"/>
          <w:numId w:val="48"/>
        </w:numPr>
        <w:spacing w:before="60" w:after="60" w:line="240" w:lineRule="auto"/>
        <w:ind w:left="357" w:hanging="357"/>
        <w:rPr>
          <w:rFonts w:ascii="Century Gothic" w:eastAsia="Times New Roman" w:hAnsi="Century Gothic" w:cs="Segoe UI"/>
        </w:rPr>
      </w:pPr>
      <w:r w:rsidRPr="00AD2A8B">
        <w:rPr>
          <w:rFonts w:ascii="Century Gothic" w:eastAsia="Times New Roman" w:hAnsi="Century Gothic" w:cs="Segoe UI"/>
        </w:rPr>
        <w:t xml:space="preserve">Energy allocation changes require </w:t>
      </w:r>
      <w:r w:rsidR="006C6FF2">
        <w:rPr>
          <w:rFonts w:ascii="Century Gothic" w:eastAsia="Times New Roman" w:hAnsi="Century Gothic" w:cs="Segoe UI"/>
        </w:rPr>
        <w:t xml:space="preserve">the </w:t>
      </w:r>
      <w:r w:rsidRPr="00AD2A8B">
        <w:rPr>
          <w:rFonts w:ascii="Century Gothic" w:eastAsia="Times New Roman" w:hAnsi="Century Gothic" w:cs="Segoe UI"/>
        </w:rPr>
        <w:t xml:space="preserve">Generator to notify Eskom by </w:t>
      </w:r>
      <w:r w:rsidR="006C6FF2">
        <w:rPr>
          <w:rFonts w:ascii="Century Gothic" w:eastAsia="Times New Roman" w:hAnsi="Century Gothic" w:cs="Segoe UI"/>
        </w:rPr>
        <w:t xml:space="preserve">the </w:t>
      </w:r>
      <w:r w:rsidRPr="00AD2A8B">
        <w:rPr>
          <w:rFonts w:ascii="Century Gothic" w:eastAsia="Times New Roman" w:hAnsi="Century Gothic" w:cs="Segoe UI"/>
        </w:rPr>
        <w:t>3rd day of the calendar month.</w:t>
      </w:r>
      <w:r w:rsidR="00254A24">
        <w:rPr>
          <w:rFonts w:ascii="Century Gothic" w:eastAsia="Times New Roman" w:hAnsi="Century Gothic" w:cs="Segoe UI"/>
        </w:rPr>
        <w:t xml:space="preserve"> </w:t>
      </w:r>
      <w:r w:rsidRPr="00AD2A8B">
        <w:rPr>
          <w:rFonts w:ascii="Century Gothic" w:eastAsia="Times New Roman" w:hAnsi="Century Gothic" w:cs="Segoe UI"/>
        </w:rPr>
        <w:t>Timely notification of energy allocation changes allows for smooth billing adjustments and accurate accounting for energy transactions between Eskom, the generator, and the Municipality.</w:t>
      </w:r>
    </w:p>
    <w:p w14:paraId="1AAD95C4" w14:textId="5FCED007" w:rsidR="00AD2A8B" w:rsidRPr="00AD2A8B" w:rsidRDefault="00AD2A8B" w:rsidP="00871EE8">
      <w:pPr>
        <w:numPr>
          <w:ilvl w:val="0"/>
          <w:numId w:val="48"/>
        </w:numPr>
        <w:spacing w:before="60" w:after="60" w:line="240" w:lineRule="auto"/>
        <w:ind w:left="357" w:hanging="357"/>
        <w:rPr>
          <w:rFonts w:ascii="Century Gothic" w:eastAsia="Times New Roman" w:hAnsi="Century Gothic" w:cs="Segoe UI"/>
        </w:rPr>
      </w:pPr>
      <w:r w:rsidRPr="00AD2A8B">
        <w:rPr>
          <w:rFonts w:ascii="Century Gothic" w:eastAsia="Times New Roman" w:hAnsi="Century Gothic" w:cs="Segoe UI"/>
        </w:rPr>
        <w:t>Municipality issues valid tax invoices to customers, covering utility</w:t>
      </w:r>
      <w:r w:rsidR="00A93C7E">
        <w:rPr>
          <w:rFonts w:ascii="Century Gothic" w:eastAsia="Times New Roman" w:hAnsi="Century Gothic" w:cs="Segoe UI"/>
        </w:rPr>
        <w:t>-</w:t>
      </w:r>
      <w:r w:rsidRPr="00AD2A8B">
        <w:rPr>
          <w:rFonts w:ascii="Century Gothic" w:eastAsia="Times New Roman" w:hAnsi="Century Gothic" w:cs="Segoe UI"/>
        </w:rPr>
        <w:t>sold energy and wheeled energy.</w:t>
      </w:r>
      <w:r w:rsidR="00254A24">
        <w:rPr>
          <w:rFonts w:ascii="Century Gothic" w:eastAsia="Times New Roman" w:hAnsi="Century Gothic" w:cs="Segoe UI"/>
        </w:rPr>
        <w:t xml:space="preserve"> </w:t>
      </w:r>
      <w:r w:rsidRPr="00AD2A8B">
        <w:rPr>
          <w:rFonts w:ascii="Century Gothic" w:eastAsia="Times New Roman" w:hAnsi="Century Gothic" w:cs="Segoe UI"/>
        </w:rPr>
        <w:t>Valid tax invoices provide customers with a clear breakdown of charges, ensuring transparency and compliance with tax regulations.</w:t>
      </w:r>
    </w:p>
    <w:p w14:paraId="7D3E022E" w14:textId="69050D83" w:rsidR="00AD2A8B" w:rsidRPr="00071533" w:rsidRDefault="00095BAD" w:rsidP="00871EE8">
      <w:pPr>
        <w:numPr>
          <w:ilvl w:val="0"/>
          <w:numId w:val="48"/>
        </w:numPr>
        <w:spacing w:before="60" w:after="60" w:line="240" w:lineRule="auto"/>
        <w:ind w:left="357" w:hanging="357"/>
        <w:rPr>
          <w:rFonts w:ascii="Century Gothic" w:eastAsia="Times New Roman" w:hAnsi="Century Gothic" w:cs="Segoe UI"/>
        </w:rPr>
      </w:pPr>
      <w:r w:rsidRPr="00071533">
        <w:rPr>
          <w:rFonts w:ascii="Century Gothic" w:eastAsia="Times New Roman" w:hAnsi="Century Gothic" w:cs="Segoe UI"/>
        </w:rPr>
        <w:t>Actual w</w:t>
      </w:r>
      <w:r w:rsidR="00AD2A8B" w:rsidRPr="00071533">
        <w:rPr>
          <w:rFonts w:ascii="Century Gothic" w:eastAsia="Times New Roman" w:hAnsi="Century Gothic" w:cs="Segoe UI"/>
        </w:rPr>
        <w:t xml:space="preserve">heeled energy credited on customer invoices using </w:t>
      </w:r>
      <w:r w:rsidR="00071533" w:rsidRPr="00071533">
        <w:rPr>
          <w:rFonts w:ascii="Century Gothic" w:eastAsia="Times New Roman" w:hAnsi="Century Gothic" w:cs="Segoe UI"/>
        </w:rPr>
        <w:t xml:space="preserve">actual </w:t>
      </w:r>
      <w:r w:rsidR="00AD2A8B" w:rsidRPr="00071533">
        <w:rPr>
          <w:rFonts w:ascii="Century Gothic" w:eastAsia="Times New Roman" w:hAnsi="Century Gothic" w:cs="Segoe UI"/>
        </w:rPr>
        <w:t>kWh allocated to Off-taker's account multiplied by</w:t>
      </w:r>
      <w:r w:rsidR="00071533" w:rsidRPr="00071533">
        <w:rPr>
          <w:rFonts w:ascii="Century Gothic" w:eastAsia="Times New Roman" w:hAnsi="Century Gothic" w:cs="Segoe UI"/>
        </w:rPr>
        <w:t xml:space="preserve"> the wholesale energy pricing structure (</w:t>
      </w:r>
      <w:r w:rsidR="00AD2A8B" w:rsidRPr="00071533">
        <w:rPr>
          <w:rFonts w:ascii="Century Gothic" w:eastAsia="Times New Roman" w:hAnsi="Century Gothic" w:cs="Segoe UI"/>
        </w:rPr>
        <w:t>WEPS</w:t>
      </w:r>
      <w:r w:rsidR="00071533" w:rsidRPr="00071533">
        <w:rPr>
          <w:rFonts w:ascii="Century Gothic" w:eastAsia="Times New Roman" w:hAnsi="Century Gothic" w:cs="Segoe UI"/>
        </w:rPr>
        <w:t>) ensures fair billing for wheeled energy</w:t>
      </w:r>
    </w:p>
    <w:p w14:paraId="0006AD36" w14:textId="24B57447" w:rsidR="00AD2A8B" w:rsidRPr="00AD2A8B" w:rsidRDefault="00DC7FAB" w:rsidP="00871EE8">
      <w:pPr>
        <w:numPr>
          <w:ilvl w:val="0"/>
          <w:numId w:val="48"/>
        </w:numPr>
        <w:spacing w:before="60" w:after="60" w:line="240" w:lineRule="auto"/>
        <w:ind w:left="357" w:hanging="357"/>
        <w:rPr>
          <w:rFonts w:ascii="Century Gothic" w:eastAsia="Times New Roman" w:hAnsi="Century Gothic" w:cs="Segoe UI"/>
        </w:rPr>
      </w:pPr>
      <w:r>
        <w:rPr>
          <w:rFonts w:ascii="Century Gothic" w:eastAsia="Times New Roman" w:hAnsi="Century Gothic" w:cs="Segoe UI"/>
        </w:rPr>
        <w:t>The e</w:t>
      </w:r>
      <w:r w:rsidR="00AD2A8B" w:rsidRPr="00AD2A8B">
        <w:rPr>
          <w:rFonts w:ascii="Century Gothic" w:eastAsia="Times New Roman" w:hAnsi="Century Gothic" w:cs="Segoe UI"/>
        </w:rPr>
        <w:t>ffective use-of-system charge for wheeled energy</w:t>
      </w:r>
      <w:r w:rsidR="00B327E6">
        <w:rPr>
          <w:rFonts w:ascii="Century Gothic" w:eastAsia="Times New Roman" w:hAnsi="Century Gothic" w:cs="Segoe UI"/>
        </w:rPr>
        <w:t xml:space="preserve"> is the</w:t>
      </w:r>
      <w:r w:rsidR="00AD2A8B" w:rsidRPr="00AD2A8B">
        <w:rPr>
          <w:rFonts w:ascii="Century Gothic" w:eastAsia="Times New Roman" w:hAnsi="Century Gothic" w:cs="Segoe UI"/>
        </w:rPr>
        <w:t xml:space="preserve"> full tariff charge minus </w:t>
      </w:r>
      <w:r w:rsidR="003F6AA4">
        <w:rPr>
          <w:rFonts w:ascii="Century Gothic" w:eastAsia="Times New Roman" w:hAnsi="Century Gothic" w:cs="Segoe UI"/>
        </w:rPr>
        <w:t>the</w:t>
      </w:r>
      <w:r w:rsidR="00F87024">
        <w:rPr>
          <w:rFonts w:ascii="Century Gothic" w:eastAsia="Times New Roman" w:hAnsi="Century Gothic" w:cs="Segoe UI"/>
        </w:rPr>
        <w:t xml:space="preserve"> </w:t>
      </w:r>
      <w:r w:rsidR="00AD2A8B" w:rsidRPr="00AD2A8B">
        <w:rPr>
          <w:rFonts w:ascii="Century Gothic" w:eastAsia="Times New Roman" w:hAnsi="Century Gothic" w:cs="Segoe UI"/>
        </w:rPr>
        <w:t>wholesale energy price.</w:t>
      </w:r>
      <w:r w:rsidR="00B327E6">
        <w:rPr>
          <w:rFonts w:ascii="Century Gothic" w:eastAsia="Times New Roman" w:hAnsi="Century Gothic" w:cs="Segoe UI"/>
        </w:rPr>
        <w:t xml:space="preserve"> </w:t>
      </w:r>
      <w:r w:rsidR="00F87024">
        <w:rPr>
          <w:rFonts w:ascii="Century Gothic" w:eastAsia="Times New Roman" w:hAnsi="Century Gothic" w:cs="Segoe UI"/>
        </w:rPr>
        <w:t>This</w:t>
      </w:r>
      <w:r w:rsidR="00AD2A8B" w:rsidRPr="00AD2A8B">
        <w:rPr>
          <w:rFonts w:ascii="Century Gothic" w:eastAsia="Times New Roman" w:hAnsi="Century Gothic" w:cs="Segoe UI"/>
        </w:rPr>
        <w:t xml:space="preserve"> </w:t>
      </w:r>
      <w:r w:rsidR="007B48F2">
        <w:rPr>
          <w:rFonts w:ascii="Century Gothic" w:eastAsia="Times New Roman" w:hAnsi="Century Gothic" w:cs="Segoe UI"/>
        </w:rPr>
        <w:t>creates a</w:t>
      </w:r>
      <w:r w:rsidR="007B48F2" w:rsidRPr="00AD2A8B">
        <w:rPr>
          <w:rFonts w:ascii="Century Gothic" w:eastAsia="Times New Roman" w:hAnsi="Century Gothic" w:cs="Segoe UI"/>
        </w:rPr>
        <w:t xml:space="preserve"> </w:t>
      </w:r>
      <w:r w:rsidR="00AD2A8B" w:rsidRPr="00AD2A8B">
        <w:rPr>
          <w:rFonts w:ascii="Century Gothic" w:eastAsia="Times New Roman" w:hAnsi="Century Gothic" w:cs="Segoe UI"/>
        </w:rPr>
        <w:t>proper accounting for system costs and avoids overcharging or undercharging for wheeled energy.</w:t>
      </w:r>
    </w:p>
    <w:p w14:paraId="0C442F14" w14:textId="6DCC9ED1" w:rsidR="00AD2A8B" w:rsidRPr="00AD2A8B" w:rsidRDefault="007B48F2" w:rsidP="00871EE8">
      <w:pPr>
        <w:numPr>
          <w:ilvl w:val="0"/>
          <w:numId w:val="48"/>
        </w:numPr>
        <w:spacing w:before="60" w:after="60" w:line="240" w:lineRule="auto"/>
        <w:ind w:left="357" w:hanging="357"/>
        <w:rPr>
          <w:rFonts w:ascii="Century Gothic" w:eastAsia="Times New Roman" w:hAnsi="Century Gothic" w:cs="Segoe UI"/>
        </w:rPr>
      </w:pPr>
      <w:r>
        <w:rPr>
          <w:rFonts w:ascii="Century Gothic" w:eastAsia="Times New Roman" w:hAnsi="Century Gothic" w:cs="Segoe UI"/>
        </w:rPr>
        <w:t xml:space="preserve">The </w:t>
      </w:r>
      <w:r w:rsidR="00AD2A8B" w:rsidRPr="00AD2A8B">
        <w:rPr>
          <w:rFonts w:ascii="Century Gothic" w:eastAsia="Times New Roman" w:hAnsi="Century Gothic" w:cs="Segoe UI"/>
        </w:rPr>
        <w:t xml:space="preserve">Municipality reconciles </w:t>
      </w:r>
      <w:r>
        <w:rPr>
          <w:rFonts w:ascii="Century Gothic" w:eastAsia="Times New Roman" w:hAnsi="Century Gothic" w:cs="Segoe UI"/>
        </w:rPr>
        <w:t xml:space="preserve">the </w:t>
      </w:r>
      <w:r w:rsidR="00AD2A8B" w:rsidRPr="00AD2A8B">
        <w:rPr>
          <w:rFonts w:ascii="Century Gothic" w:eastAsia="Times New Roman" w:hAnsi="Century Gothic" w:cs="Segoe UI"/>
        </w:rPr>
        <w:t>wheeling account monthly based on TOU basis, aligning with Eskom's approach</w:t>
      </w:r>
      <w:r>
        <w:rPr>
          <w:rFonts w:ascii="Century Gothic" w:eastAsia="Times New Roman" w:hAnsi="Century Gothic" w:cs="Segoe UI"/>
        </w:rPr>
        <w:t>, allowin</w:t>
      </w:r>
      <w:r w:rsidR="004D2531">
        <w:rPr>
          <w:rFonts w:ascii="Century Gothic" w:eastAsia="Times New Roman" w:hAnsi="Century Gothic" w:cs="Segoe UI"/>
        </w:rPr>
        <w:t xml:space="preserve">g </w:t>
      </w:r>
      <w:r w:rsidR="00231A3D">
        <w:rPr>
          <w:rFonts w:ascii="Century Gothic" w:eastAsia="Times New Roman" w:hAnsi="Century Gothic" w:cs="Segoe UI"/>
        </w:rPr>
        <w:t>for billing</w:t>
      </w:r>
      <w:r w:rsidR="00AD2A8B" w:rsidRPr="00AD2A8B">
        <w:rPr>
          <w:rFonts w:ascii="Century Gothic" w:eastAsia="Times New Roman" w:hAnsi="Century Gothic" w:cs="Segoe UI"/>
        </w:rPr>
        <w:t xml:space="preserve"> </w:t>
      </w:r>
      <w:r w:rsidR="004D2531">
        <w:rPr>
          <w:rFonts w:ascii="Century Gothic" w:eastAsia="Times New Roman" w:hAnsi="Century Gothic" w:cs="Segoe UI"/>
        </w:rPr>
        <w:t xml:space="preserve">that </w:t>
      </w:r>
      <w:r w:rsidR="00AD2A8B" w:rsidRPr="00AD2A8B">
        <w:rPr>
          <w:rFonts w:ascii="Century Gothic" w:eastAsia="Times New Roman" w:hAnsi="Century Gothic" w:cs="Segoe UI"/>
        </w:rPr>
        <w:t xml:space="preserve">is accurate and </w:t>
      </w:r>
      <w:r w:rsidR="0033645E" w:rsidRPr="00AD2A8B">
        <w:rPr>
          <w:rFonts w:ascii="Century Gothic" w:eastAsia="Times New Roman" w:hAnsi="Century Gothic" w:cs="Segoe UI"/>
        </w:rPr>
        <w:t>up to date</w:t>
      </w:r>
      <w:r w:rsidR="00AD2A8B" w:rsidRPr="00AD2A8B">
        <w:rPr>
          <w:rFonts w:ascii="Century Gothic" w:eastAsia="Times New Roman" w:hAnsi="Century Gothic" w:cs="Segoe UI"/>
        </w:rPr>
        <w:t>, for efficient accounting and billing processes.</w:t>
      </w:r>
    </w:p>
    <w:p w14:paraId="17918A47" w14:textId="62146202" w:rsidR="009A58D8" w:rsidRPr="009E17B0" w:rsidRDefault="00AD2A8B" w:rsidP="00871EE8">
      <w:pPr>
        <w:numPr>
          <w:ilvl w:val="0"/>
          <w:numId w:val="48"/>
        </w:numPr>
        <w:spacing w:before="60" w:after="60" w:line="240" w:lineRule="auto"/>
        <w:ind w:left="357" w:hanging="357"/>
        <w:rPr>
          <w:rFonts w:ascii="Century Gothic" w:eastAsia="Times New Roman" w:hAnsi="Century Gothic" w:cs="Segoe UI"/>
        </w:rPr>
      </w:pPr>
      <w:r w:rsidRPr="00AD2A8B">
        <w:rPr>
          <w:rFonts w:ascii="Century Gothic" w:eastAsia="Times New Roman" w:hAnsi="Century Gothic" w:cs="Segoe UI"/>
        </w:rPr>
        <w:t xml:space="preserve">Customers settle Municipality invoices, and </w:t>
      </w:r>
      <w:r w:rsidR="00D81069">
        <w:rPr>
          <w:rFonts w:ascii="Century Gothic" w:eastAsia="Times New Roman" w:hAnsi="Century Gothic" w:cs="Segoe UI"/>
        </w:rPr>
        <w:t xml:space="preserve">the </w:t>
      </w:r>
      <w:r w:rsidRPr="00AD2A8B">
        <w:rPr>
          <w:rFonts w:ascii="Century Gothic" w:eastAsia="Times New Roman" w:hAnsi="Century Gothic" w:cs="Segoe UI"/>
        </w:rPr>
        <w:t>Municipality settles Eskom.</w:t>
      </w:r>
      <w:r w:rsidR="00947BCD">
        <w:rPr>
          <w:rFonts w:ascii="Century Gothic" w:eastAsia="Times New Roman" w:hAnsi="Century Gothic" w:cs="Segoe UI"/>
        </w:rPr>
        <w:t xml:space="preserve"> </w:t>
      </w:r>
      <w:r w:rsidRPr="00AD2A8B">
        <w:rPr>
          <w:rFonts w:ascii="Century Gothic" w:eastAsia="Times New Roman" w:hAnsi="Century Gothic" w:cs="Segoe UI"/>
        </w:rPr>
        <w:t>Settling invoices promptly ensures smooth financial transactions between customers, the Municipality, and Eskom, avoiding delays or discrepancies in payment.</w:t>
      </w:r>
    </w:p>
    <w:p w14:paraId="3E954781" w14:textId="77777777" w:rsidR="006A3F14" w:rsidRPr="00E55368" w:rsidRDefault="006A3F14" w:rsidP="006A3F14">
      <w:pPr>
        <w:pStyle w:val="Heading1"/>
      </w:pPr>
      <w:bookmarkStart w:id="27" w:name="_Toc145484198"/>
      <w:r w:rsidRPr="00E55368">
        <w:t>Scenarios</w:t>
      </w:r>
      <w:r>
        <w:t xml:space="preserve"> for Contracting, Metering &amp; Billing</w:t>
      </w:r>
      <w:bookmarkEnd w:id="27"/>
      <w:r>
        <w:t xml:space="preserve"> </w:t>
      </w:r>
    </w:p>
    <w:p w14:paraId="7FE4E8D7" w14:textId="77777777" w:rsidR="006A3F14" w:rsidRPr="00CB7974" w:rsidRDefault="006A3F14" w:rsidP="006A3F14">
      <w:pPr>
        <w:shd w:val="clear" w:color="auto" w:fill="F2F2F2" w:themeFill="background1" w:themeFillShade="F2"/>
        <w:rPr>
          <w:rFonts w:ascii="Century Gothic" w:hAnsi="Century Gothic"/>
          <w:b/>
          <w:bCs/>
          <w:i/>
          <w:iCs/>
          <w:u w:val="single"/>
        </w:rPr>
      </w:pPr>
      <w:r w:rsidRPr="00493EF2">
        <w:rPr>
          <w:rFonts w:ascii="Segoe UI Emoji" w:hAnsi="Segoe UI Emoji" w:cs="Segoe UI Emoji"/>
        </w:rPr>
        <w:t>🔍</w:t>
      </w:r>
      <w:r w:rsidRPr="006D455C">
        <w:rPr>
          <w:rFonts w:ascii="Century Gothic" w:hAnsi="Century Gothic"/>
          <w:b/>
          <w:bCs/>
          <w:u w:val="single"/>
        </w:rPr>
        <w:t xml:space="preserve"> </w:t>
      </w:r>
      <w:r w:rsidRPr="00CB7974">
        <w:rPr>
          <w:rFonts w:ascii="Century Gothic" w:hAnsi="Century Gothic"/>
          <w:b/>
          <w:bCs/>
          <w:i/>
          <w:iCs/>
          <w:u w:val="single"/>
        </w:rPr>
        <w:t xml:space="preserve">Explanatory notes: </w:t>
      </w:r>
    </w:p>
    <w:p w14:paraId="0BC57D2A" w14:textId="768AA1CE" w:rsidR="006A3F14" w:rsidRPr="00CB7974" w:rsidRDefault="006A3F14" w:rsidP="009E17B0">
      <w:pPr>
        <w:shd w:val="clear" w:color="auto" w:fill="F2F2F2" w:themeFill="background1" w:themeFillShade="F2"/>
        <w:spacing w:beforeLines="60" w:before="144" w:afterLines="60" w:after="144" w:line="240" w:lineRule="auto"/>
        <w:rPr>
          <w:rFonts w:ascii="Century Gothic" w:hAnsi="Century Gothic" w:cs="Segoe UI Emoji"/>
          <w:i/>
          <w:iCs/>
        </w:rPr>
      </w:pPr>
      <w:r w:rsidRPr="00CB7974">
        <w:rPr>
          <w:rFonts w:ascii="Century Gothic" w:hAnsi="Century Gothic" w:cs="Segoe UI Emoji"/>
          <w:i/>
          <w:iCs/>
        </w:rPr>
        <w:t xml:space="preserve">The section on scenarios outlines different situations in which the implementation of wheeling may vary based on the generator's </w:t>
      </w:r>
      <w:r>
        <w:rPr>
          <w:rFonts w:ascii="Century Gothic" w:hAnsi="Century Gothic" w:cs="Segoe UI Emoji"/>
          <w:i/>
          <w:iCs/>
        </w:rPr>
        <w:t xml:space="preserve">and off-taker’s </w:t>
      </w:r>
      <w:r w:rsidRPr="00CB7974">
        <w:rPr>
          <w:rFonts w:ascii="Century Gothic" w:hAnsi="Century Gothic" w:cs="Segoe UI Emoji"/>
          <w:i/>
          <w:iCs/>
        </w:rPr>
        <w:t xml:space="preserve">connection. </w:t>
      </w:r>
      <w:r w:rsidR="00A56758">
        <w:rPr>
          <w:rFonts w:ascii="Century Gothic" w:hAnsi="Century Gothic" w:cs="Segoe UI Emoji"/>
          <w:i/>
          <w:iCs/>
        </w:rPr>
        <w:t xml:space="preserve">The Municipality </w:t>
      </w:r>
      <w:r w:rsidRPr="00CB7974">
        <w:rPr>
          <w:rFonts w:ascii="Century Gothic" w:hAnsi="Century Gothic" w:cs="Segoe UI Emoji"/>
          <w:i/>
          <w:iCs/>
        </w:rPr>
        <w:t xml:space="preserve">play a critical role in identifying and understanding these scenarios to effectively facilitate the wheeling process. Some key actions that </w:t>
      </w:r>
      <w:r w:rsidR="00A56758">
        <w:rPr>
          <w:rFonts w:ascii="Century Gothic" w:hAnsi="Century Gothic" w:cs="Segoe UI Emoji"/>
          <w:i/>
          <w:iCs/>
        </w:rPr>
        <w:t xml:space="preserve">The Municipality </w:t>
      </w:r>
      <w:r w:rsidRPr="00CB7974">
        <w:rPr>
          <w:rFonts w:ascii="Century Gothic" w:hAnsi="Century Gothic" w:cs="Segoe UI Emoji"/>
          <w:i/>
          <w:iCs/>
        </w:rPr>
        <w:t>need to undertake include:</w:t>
      </w:r>
    </w:p>
    <w:p w14:paraId="325F6DE1" w14:textId="081E39C3" w:rsidR="006A3F14" w:rsidRPr="00CB7974" w:rsidRDefault="006A3F14" w:rsidP="00871EE8">
      <w:pPr>
        <w:pStyle w:val="ListParagraph"/>
        <w:numPr>
          <w:ilvl w:val="0"/>
          <w:numId w:val="24"/>
        </w:numPr>
        <w:shd w:val="clear" w:color="auto" w:fill="F2F2F2" w:themeFill="background1" w:themeFillShade="F2"/>
        <w:spacing w:beforeLines="60" w:before="144" w:afterLines="60" w:after="144" w:line="240" w:lineRule="auto"/>
        <w:contextualSpacing w:val="0"/>
        <w:rPr>
          <w:rFonts w:ascii="Century Gothic" w:hAnsi="Century Gothic" w:cs="Segoe UI Emoji"/>
          <w:i/>
          <w:iCs/>
        </w:rPr>
      </w:pPr>
      <w:r w:rsidRPr="00CB7974">
        <w:rPr>
          <w:rFonts w:ascii="Century Gothic" w:hAnsi="Century Gothic" w:cs="Segoe UI Emoji"/>
          <w:b/>
          <w:bCs/>
          <w:i/>
          <w:iCs/>
        </w:rPr>
        <w:lastRenderedPageBreak/>
        <w:t>Identify Wheeling Scenarios:</w:t>
      </w:r>
      <w:r w:rsidRPr="00CB7974">
        <w:rPr>
          <w:rFonts w:ascii="Century Gothic" w:hAnsi="Century Gothic" w:cs="Segoe UI Emoji"/>
          <w:i/>
          <w:iCs/>
        </w:rPr>
        <w:t xml:space="preserve"> </w:t>
      </w:r>
      <w:r w:rsidR="00A56758">
        <w:rPr>
          <w:rFonts w:ascii="Century Gothic" w:hAnsi="Century Gothic" w:cs="Segoe UI Emoji"/>
          <w:i/>
          <w:iCs/>
        </w:rPr>
        <w:t xml:space="preserve">The Municipality </w:t>
      </w:r>
      <w:r w:rsidRPr="00CB7974">
        <w:rPr>
          <w:rFonts w:ascii="Century Gothic" w:hAnsi="Century Gothic" w:cs="Segoe UI Emoji"/>
          <w:i/>
          <w:iCs/>
        </w:rPr>
        <w:t xml:space="preserve">should identify and categorize the specific wheeling scenarios relevant to their municipality. These scenarios may include different types of generator connections, such as </w:t>
      </w:r>
      <w:r w:rsidR="00262223">
        <w:rPr>
          <w:rFonts w:ascii="Century Gothic" w:hAnsi="Century Gothic" w:cs="Segoe UI Emoji"/>
          <w:i/>
          <w:iCs/>
        </w:rPr>
        <w:t xml:space="preserve">a </w:t>
      </w:r>
      <w:r w:rsidRPr="00CB7974">
        <w:rPr>
          <w:rFonts w:ascii="Century Gothic" w:hAnsi="Century Gothic" w:cs="Segoe UI Emoji"/>
          <w:i/>
          <w:iCs/>
        </w:rPr>
        <w:t xml:space="preserve">direct connection to the municipal grid or </w:t>
      </w:r>
      <w:r w:rsidR="00262223">
        <w:rPr>
          <w:rFonts w:ascii="Century Gothic" w:hAnsi="Century Gothic" w:cs="Segoe UI Emoji"/>
          <w:i/>
          <w:iCs/>
        </w:rPr>
        <w:t xml:space="preserve">a </w:t>
      </w:r>
      <w:r w:rsidRPr="00CB7974">
        <w:rPr>
          <w:rFonts w:ascii="Century Gothic" w:hAnsi="Century Gothic" w:cs="Segoe UI Emoji"/>
          <w:i/>
          <w:iCs/>
        </w:rPr>
        <w:t>connection through Eskom Networks</w:t>
      </w:r>
      <w:r w:rsidR="003F4D19">
        <w:rPr>
          <w:rFonts w:ascii="Century Gothic" w:hAnsi="Century Gothic" w:cs="Segoe UI Emoji"/>
          <w:i/>
          <w:iCs/>
        </w:rPr>
        <w:t>,</w:t>
      </w:r>
      <w:r w:rsidRPr="00CB7974">
        <w:rPr>
          <w:rFonts w:ascii="Century Gothic" w:hAnsi="Century Gothic" w:cs="Segoe UI Emoji"/>
          <w:i/>
          <w:iCs/>
        </w:rPr>
        <w:t xml:space="preserve"> or a third-party network. Understanding the specific scenarios helps in tailoring the wheeling framework accordingly.</w:t>
      </w:r>
    </w:p>
    <w:p w14:paraId="12071E5E" w14:textId="1E56BE1A" w:rsidR="006A3F14" w:rsidRPr="00CB7974" w:rsidRDefault="006A3F14" w:rsidP="00871EE8">
      <w:pPr>
        <w:pStyle w:val="ListParagraph"/>
        <w:numPr>
          <w:ilvl w:val="0"/>
          <w:numId w:val="24"/>
        </w:numPr>
        <w:shd w:val="clear" w:color="auto" w:fill="F2F2F2" w:themeFill="background1" w:themeFillShade="F2"/>
        <w:spacing w:beforeLines="60" w:before="144" w:afterLines="60" w:after="144" w:line="240" w:lineRule="auto"/>
        <w:contextualSpacing w:val="0"/>
        <w:rPr>
          <w:rFonts w:ascii="Century Gothic" w:hAnsi="Century Gothic" w:cs="Segoe UI Emoji"/>
          <w:i/>
          <w:iCs/>
        </w:rPr>
      </w:pPr>
      <w:r w:rsidRPr="00CB7974">
        <w:rPr>
          <w:rFonts w:ascii="Century Gothic" w:hAnsi="Century Gothic" w:cs="Segoe UI Emoji"/>
          <w:b/>
          <w:bCs/>
          <w:i/>
          <w:iCs/>
        </w:rPr>
        <w:t>Assess Infrastructure Requirements:</w:t>
      </w:r>
      <w:r w:rsidRPr="00CB7974">
        <w:rPr>
          <w:rFonts w:ascii="Century Gothic" w:hAnsi="Century Gothic" w:cs="Segoe UI Emoji"/>
          <w:i/>
          <w:iCs/>
        </w:rPr>
        <w:t xml:space="preserve"> </w:t>
      </w:r>
      <w:r w:rsidR="00A56758">
        <w:rPr>
          <w:rFonts w:ascii="Century Gothic" w:hAnsi="Century Gothic" w:cs="Segoe UI Emoji"/>
          <w:i/>
          <w:iCs/>
        </w:rPr>
        <w:t xml:space="preserve">The Municipality </w:t>
      </w:r>
      <w:r w:rsidRPr="00CB7974">
        <w:rPr>
          <w:rFonts w:ascii="Century Gothic" w:hAnsi="Century Gothic" w:cs="Segoe UI Emoji"/>
          <w:i/>
          <w:iCs/>
        </w:rPr>
        <w:t xml:space="preserve">need to assess the infrastructure requirements </w:t>
      </w:r>
      <w:r w:rsidR="00DA4E9D">
        <w:rPr>
          <w:rFonts w:ascii="Century Gothic" w:hAnsi="Century Gothic" w:cs="Segoe UI Emoji"/>
          <w:i/>
          <w:iCs/>
        </w:rPr>
        <w:t>where the</w:t>
      </w:r>
      <w:r w:rsidR="00BA0B24">
        <w:rPr>
          <w:rFonts w:ascii="Century Gothic" w:hAnsi="Century Gothic" w:cs="Segoe UI Emoji"/>
          <w:i/>
          <w:iCs/>
        </w:rPr>
        <w:t xml:space="preserve"> generator is connected to the Municipalities distribution grid</w:t>
      </w:r>
      <w:r w:rsidRPr="00CB7974">
        <w:rPr>
          <w:rFonts w:ascii="Century Gothic" w:hAnsi="Century Gothic" w:cs="Segoe UI Emoji"/>
          <w:i/>
          <w:iCs/>
        </w:rPr>
        <w:t>. This involves evaluating the capacity and capability of the existing grid infrastructure to accommodate the wheeling transactions and ensuring that the necessary technical provisions are in place for reliable and efficient electricity transfer.</w:t>
      </w:r>
    </w:p>
    <w:p w14:paraId="3624B685" w14:textId="2CBAAB03" w:rsidR="006A3F14" w:rsidRPr="00CB7974" w:rsidRDefault="006A3F14" w:rsidP="00871EE8">
      <w:pPr>
        <w:pStyle w:val="ListParagraph"/>
        <w:numPr>
          <w:ilvl w:val="0"/>
          <w:numId w:val="24"/>
        </w:numPr>
        <w:shd w:val="clear" w:color="auto" w:fill="F2F2F2" w:themeFill="background1" w:themeFillShade="F2"/>
        <w:spacing w:beforeLines="60" w:before="144" w:afterLines="60" w:after="144" w:line="240" w:lineRule="auto"/>
        <w:contextualSpacing w:val="0"/>
        <w:rPr>
          <w:rFonts w:ascii="Century Gothic" w:hAnsi="Century Gothic" w:cs="Segoe UI Emoji"/>
          <w:i/>
          <w:iCs/>
        </w:rPr>
      </w:pPr>
      <w:r w:rsidRPr="00CB7974">
        <w:rPr>
          <w:rFonts w:ascii="Century Gothic" w:hAnsi="Century Gothic" w:cs="Segoe UI Emoji"/>
          <w:b/>
          <w:bCs/>
          <w:i/>
          <w:iCs/>
        </w:rPr>
        <w:t>Develop Guidelines and Processes:</w:t>
      </w:r>
      <w:r w:rsidRPr="00CB7974">
        <w:rPr>
          <w:rFonts w:ascii="Century Gothic" w:hAnsi="Century Gothic" w:cs="Segoe UI Emoji"/>
          <w:i/>
          <w:iCs/>
        </w:rPr>
        <w:t xml:space="preserve"> </w:t>
      </w:r>
      <w:r w:rsidR="00A56758">
        <w:rPr>
          <w:rFonts w:ascii="Century Gothic" w:hAnsi="Century Gothic" w:cs="Segoe UI Emoji"/>
          <w:i/>
          <w:iCs/>
        </w:rPr>
        <w:t xml:space="preserve">The Municipality </w:t>
      </w:r>
      <w:r w:rsidRPr="00CB7974">
        <w:rPr>
          <w:rFonts w:ascii="Century Gothic" w:hAnsi="Century Gothic" w:cs="Segoe UI Emoji"/>
          <w:i/>
          <w:iCs/>
        </w:rPr>
        <w:t>should develop clear guidelines and processes for each identified wheeling scenario. These guidelines should address the specific requirements, procedures, and considerations associated with each scenario. They should provide stakeholders with a step-by-step framework to follow for successful wheeling implementation.</w:t>
      </w:r>
    </w:p>
    <w:p w14:paraId="397AD2E6" w14:textId="6C307A3A" w:rsidR="006A3F14" w:rsidRPr="00CB7974" w:rsidRDefault="006A3F14" w:rsidP="00871EE8">
      <w:pPr>
        <w:pStyle w:val="ListParagraph"/>
        <w:numPr>
          <w:ilvl w:val="0"/>
          <w:numId w:val="24"/>
        </w:numPr>
        <w:shd w:val="clear" w:color="auto" w:fill="F2F2F2" w:themeFill="background1" w:themeFillShade="F2"/>
        <w:spacing w:beforeLines="60" w:before="144" w:afterLines="60" w:after="144" w:line="240" w:lineRule="auto"/>
        <w:contextualSpacing w:val="0"/>
        <w:rPr>
          <w:rFonts w:ascii="Century Gothic" w:hAnsi="Century Gothic" w:cs="Segoe UI Emoji"/>
          <w:i/>
          <w:iCs/>
        </w:rPr>
      </w:pPr>
      <w:r w:rsidRPr="00CB7974">
        <w:rPr>
          <w:rFonts w:ascii="Century Gothic" w:hAnsi="Century Gothic" w:cs="Segoe UI Emoji"/>
          <w:b/>
          <w:bCs/>
          <w:i/>
          <w:iCs/>
        </w:rPr>
        <w:t>Coordinate with Stakeholders:</w:t>
      </w:r>
      <w:r w:rsidRPr="00CB7974">
        <w:rPr>
          <w:rFonts w:ascii="Century Gothic" w:hAnsi="Century Gothic" w:cs="Segoe UI Emoji"/>
          <w:i/>
          <w:iCs/>
        </w:rPr>
        <w:t xml:space="preserve"> </w:t>
      </w:r>
      <w:r w:rsidR="00A56758">
        <w:rPr>
          <w:rFonts w:ascii="Century Gothic" w:hAnsi="Century Gothic" w:cs="Segoe UI Emoji"/>
          <w:i/>
          <w:iCs/>
        </w:rPr>
        <w:t xml:space="preserve">The Municipality </w:t>
      </w:r>
      <w:r w:rsidRPr="00CB7974">
        <w:rPr>
          <w:rFonts w:ascii="Century Gothic" w:hAnsi="Century Gothic" w:cs="Segoe UI Emoji"/>
          <w:i/>
          <w:iCs/>
        </w:rPr>
        <w:t>need to coordinate and collaborate with all relevant stakeholders involved in the specific wheeling scenarios. This includes generators, customers, traders, Eskom, and other regulatory bodies. Effective coordination ensures that all parties are aware of their roles and responsibilities and facilitates a smooth and transparent implementation process.</w:t>
      </w:r>
    </w:p>
    <w:p w14:paraId="37F99F71" w14:textId="67FC78AA" w:rsidR="006A3F14" w:rsidRPr="00CB7974" w:rsidRDefault="006A3F14" w:rsidP="00871EE8">
      <w:pPr>
        <w:pStyle w:val="ListParagraph"/>
        <w:numPr>
          <w:ilvl w:val="0"/>
          <w:numId w:val="24"/>
        </w:numPr>
        <w:shd w:val="clear" w:color="auto" w:fill="F2F2F2" w:themeFill="background1" w:themeFillShade="F2"/>
        <w:spacing w:beforeLines="60" w:before="144" w:afterLines="60" w:after="144" w:line="240" w:lineRule="auto"/>
        <w:contextualSpacing w:val="0"/>
        <w:rPr>
          <w:rFonts w:ascii="Century Gothic" w:hAnsi="Century Gothic" w:cs="Segoe UI Emoji"/>
          <w:i/>
          <w:iCs/>
        </w:rPr>
      </w:pPr>
      <w:r w:rsidRPr="00CB7974">
        <w:rPr>
          <w:rFonts w:ascii="Century Gothic" w:hAnsi="Century Gothic" w:cs="Segoe UI Emoji"/>
          <w:b/>
          <w:bCs/>
          <w:i/>
          <w:iCs/>
        </w:rPr>
        <w:t>Monitor and Evaluate Performance:</w:t>
      </w:r>
      <w:r w:rsidRPr="00CB7974">
        <w:rPr>
          <w:rFonts w:ascii="Century Gothic" w:hAnsi="Century Gothic" w:cs="Segoe UI Emoji"/>
          <w:i/>
          <w:iCs/>
        </w:rPr>
        <w:t xml:space="preserve"> </w:t>
      </w:r>
      <w:r w:rsidR="00A56758">
        <w:rPr>
          <w:rFonts w:ascii="Century Gothic" w:hAnsi="Century Gothic" w:cs="Segoe UI Emoji"/>
          <w:i/>
          <w:iCs/>
        </w:rPr>
        <w:t xml:space="preserve">The Municipality </w:t>
      </w:r>
      <w:r w:rsidRPr="00CB7974">
        <w:rPr>
          <w:rFonts w:ascii="Century Gothic" w:hAnsi="Century Gothic" w:cs="Segoe UI Emoji"/>
          <w:i/>
          <w:iCs/>
        </w:rPr>
        <w:t>should monitor and evaluate the performance of the wheeling system in each scenario. This includes assessing the reliability, efficiency, and cost-effectiveness of the implemented processes. Regular monitoring and evaluation help identify any areas for improvement and ensure that the wheeling framework continues to meet the needs of all stakeholders.</w:t>
      </w:r>
    </w:p>
    <w:p w14:paraId="7E667C60" w14:textId="3FE57CB0" w:rsidR="006A3F14" w:rsidRPr="00CB7974" w:rsidRDefault="006A3F14" w:rsidP="009E17B0">
      <w:pPr>
        <w:shd w:val="clear" w:color="auto" w:fill="F2F2F2" w:themeFill="background1" w:themeFillShade="F2"/>
        <w:spacing w:beforeLines="60" w:before="144" w:afterLines="60" w:after="144" w:line="240" w:lineRule="auto"/>
        <w:rPr>
          <w:rFonts w:ascii="Century Gothic" w:hAnsi="Century Gothic" w:cs="Segoe UI Emoji"/>
          <w:i/>
          <w:iCs/>
        </w:rPr>
      </w:pPr>
      <w:r w:rsidRPr="00CB7974">
        <w:rPr>
          <w:rFonts w:ascii="Century Gothic" w:hAnsi="Century Gothic" w:cs="Segoe UI Emoji"/>
          <w:i/>
          <w:iCs/>
        </w:rPr>
        <w:t xml:space="preserve">By identifying wheeling scenarios, assessing infrastructure requirements, developing guidelines and processes, coordinating with stakeholders, and monitoring performance, </w:t>
      </w:r>
      <w:r w:rsidR="00A56758">
        <w:rPr>
          <w:rFonts w:ascii="Century Gothic" w:hAnsi="Century Gothic" w:cs="Segoe UI Emoji"/>
          <w:i/>
          <w:iCs/>
        </w:rPr>
        <w:t xml:space="preserve">The Municipality </w:t>
      </w:r>
      <w:r w:rsidRPr="00CB7974">
        <w:rPr>
          <w:rFonts w:ascii="Century Gothic" w:hAnsi="Century Gothic" w:cs="Segoe UI Emoji"/>
          <w:i/>
          <w:iCs/>
        </w:rPr>
        <w:t>contribute to the successful implementation of the wheeling system in various scenarios. Their proactive involvement ensures that the wheeling process is tailored to the specific needs of their municipality, promoting efficient and sustainable electricity transfers.</w:t>
      </w:r>
    </w:p>
    <w:p w14:paraId="3CBE7645" w14:textId="77777777" w:rsidR="006A3F14" w:rsidRPr="00493EF2" w:rsidRDefault="006A3F14" w:rsidP="009E17B0">
      <w:pPr>
        <w:spacing w:beforeLines="60" w:before="144" w:afterLines="60" w:after="144" w:line="240" w:lineRule="auto"/>
        <w:rPr>
          <w:rFonts w:ascii="Century Gothic" w:hAnsi="Century Gothic"/>
          <w:b/>
          <w:bCs/>
          <w:u w:val="single"/>
        </w:rPr>
      </w:pPr>
      <w:r w:rsidRPr="00FE49F7">
        <w:rPr>
          <w:rFonts w:ascii="Segoe UI Emoji" w:hAnsi="Segoe UI Emoji" w:cs="Segoe UI Emoji"/>
          <w:b/>
          <w:bCs/>
          <w:u w:val="single"/>
        </w:rPr>
        <w:t>💡</w:t>
      </w:r>
      <w:r w:rsidRPr="00FE49F7">
        <w:rPr>
          <w:rFonts w:ascii="Century Gothic" w:hAnsi="Century Gothic"/>
          <w:b/>
          <w:bCs/>
          <w:u w:val="single"/>
        </w:rPr>
        <w:t xml:space="preserve">Illustrative example </w:t>
      </w:r>
    </w:p>
    <w:p w14:paraId="71CC1798" w14:textId="619EA7DA" w:rsidR="006A3F14" w:rsidRDefault="006A3F14" w:rsidP="009E17B0">
      <w:pPr>
        <w:spacing w:beforeLines="60" w:before="144" w:afterLines="60" w:after="144" w:line="240" w:lineRule="auto"/>
        <w:rPr>
          <w:rFonts w:ascii="Century Gothic" w:hAnsi="Century Gothic"/>
        </w:rPr>
      </w:pPr>
      <w:r w:rsidRPr="00E55368">
        <w:rPr>
          <w:rFonts w:ascii="Century Gothic" w:hAnsi="Century Gothic"/>
        </w:rPr>
        <w:t xml:space="preserve">The implementation of wheeling differs depending on where the generator </w:t>
      </w:r>
      <w:r>
        <w:rPr>
          <w:rFonts w:ascii="Century Gothic" w:hAnsi="Century Gothic"/>
        </w:rPr>
        <w:t xml:space="preserve">and off-taker </w:t>
      </w:r>
      <w:r w:rsidR="009923FE">
        <w:rPr>
          <w:rFonts w:ascii="Century Gothic" w:hAnsi="Century Gothic"/>
        </w:rPr>
        <w:t xml:space="preserve">are </w:t>
      </w:r>
      <w:r w:rsidRPr="00E55368">
        <w:rPr>
          <w:rFonts w:ascii="Century Gothic" w:hAnsi="Century Gothic"/>
        </w:rPr>
        <w:t xml:space="preserve">connected. </w:t>
      </w:r>
      <w:r>
        <w:rPr>
          <w:rFonts w:ascii="Century Gothic" w:hAnsi="Century Gothic"/>
        </w:rPr>
        <w:t>The scenarios will determine the agreement</w:t>
      </w:r>
      <w:r w:rsidR="00957535">
        <w:rPr>
          <w:rFonts w:ascii="Century Gothic" w:hAnsi="Century Gothic"/>
        </w:rPr>
        <w:t>s</w:t>
      </w:r>
      <w:r>
        <w:rPr>
          <w:rFonts w:ascii="Century Gothic" w:hAnsi="Century Gothic"/>
        </w:rPr>
        <w:t xml:space="preserve"> required, and </w:t>
      </w:r>
      <w:r w:rsidR="00957535">
        <w:rPr>
          <w:rFonts w:ascii="Century Gothic" w:hAnsi="Century Gothic"/>
        </w:rPr>
        <w:t xml:space="preserve">the </w:t>
      </w:r>
      <w:r>
        <w:rPr>
          <w:rFonts w:ascii="Century Gothic" w:hAnsi="Century Gothic"/>
        </w:rPr>
        <w:t>tariffs and billing to be applied.</w:t>
      </w:r>
    </w:p>
    <w:p w14:paraId="3DB21CF4" w14:textId="1E9A4039" w:rsidR="006A3F14" w:rsidRPr="00E55368" w:rsidRDefault="006A3F14" w:rsidP="009E17B0">
      <w:pPr>
        <w:spacing w:beforeLines="60" w:before="144" w:afterLines="60" w:after="144" w:line="240" w:lineRule="auto"/>
        <w:rPr>
          <w:rFonts w:ascii="Century Gothic" w:hAnsi="Century Gothic"/>
        </w:rPr>
      </w:pPr>
      <w:r w:rsidRPr="00E55368">
        <w:rPr>
          <w:rFonts w:ascii="Century Gothic" w:hAnsi="Century Gothic"/>
        </w:rPr>
        <w:t xml:space="preserve">As a starting point, the Municipality is facilitating the </w:t>
      </w:r>
      <w:r w:rsidR="003D74EB">
        <w:rPr>
          <w:rFonts w:ascii="Century Gothic" w:hAnsi="Century Gothic"/>
        </w:rPr>
        <w:t>first</w:t>
      </w:r>
      <w:r w:rsidR="003D74EB" w:rsidRPr="00E55368">
        <w:rPr>
          <w:rFonts w:ascii="Century Gothic" w:hAnsi="Century Gothic"/>
        </w:rPr>
        <w:t xml:space="preserve"> </w:t>
      </w:r>
      <w:r w:rsidRPr="00E55368">
        <w:rPr>
          <w:rFonts w:ascii="Century Gothic" w:hAnsi="Century Gothic"/>
        </w:rPr>
        <w:t>two wheeling scenarios:</w:t>
      </w:r>
    </w:p>
    <w:p w14:paraId="750D847E" w14:textId="77777777" w:rsidR="006A3F14" w:rsidRPr="00C5065D" w:rsidRDefault="006A3F14" w:rsidP="00871EE8">
      <w:pPr>
        <w:pStyle w:val="ListParagraph"/>
        <w:numPr>
          <w:ilvl w:val="0"/>
          <w:numId w:val="8"/>
        </w:numPr>
        <w:spacing w:beforeLines="60" w:before="144" w:afterLines="60" w:after="144" w:line="240" w:lineRule="auto"/>
        <w:contextualSpacing w:val="0"/>
        <w:rPr>
          <w:rFonts w:ascii="Century Gothic" w:hAnsi="Century Gothic"/>
        </w:rPr>
      </w:pPr>
      <w:r w:rsidRPr="00AD3197">
        <w:rPr>
          <w:rFonts w:ascii="Century Gothic" w:hAnsi="Century Gothic"/>
          <w:b/>
          <w:bCs/>
        </w:rPr>
        <w:t>Scenario 1:</w:t>
      </w:r>
      <w:r w:rsidRPr="00C5065D">
        <w:rPr>
          <w:rFonts w:ascii="Century Gothic" w:hAnsi="Century Gothic"/>
        </w:rPr>
        <w:t xml:space="preserve"> Eskom-connected generator wheeling to a Municipal </w:t>
      </w:r>
      <w:r>
        <w:rPr>
          <w:rFonts w:ascii="Century Gothic" w:hAnsi="Century Gothic"/>
        </w:rPr>
        <w:t>off-taker.</w:t>
      </w:r>
    </w:p>
    <w:p w14:paraId="22A0DD65" w14:textId="77777777" w:rsidR="006A3F14" w:rsidRPr="00C5065D" w:rsidRDefault="006A3F14" w:rsidP="00871EE8">
      <w:pPr>
        <w:pStyle w:val="ListParagraph"/>
        <w:numPr>
          <w:ilvl w:val="0"/>
          <w:numId w:val="8"/>
        </w:numPr>
        <w:spacing w:beforeLines="60" w:before="144" w:afterLines="60" w:after="144" w:line="240" w:lineRule="auto"/>
        <w:contextualSpacing w:val="0"/>
        <w:rPr>
          <w:rFonts w:ascii="Century Gothic" w:hAnsi="Century Gothic"/>
        </w:rPr>
      </w:pPr>
      <w:r w:rsidRPr="00AD3197">
        <w:rPr>
          <w:rFonts w:ascii="Century Gothic" w:hAnsi="Century Gothic"/>
          <w:b/>
          <w:bCs/>
        </w:rPr>
        <w:t>Scenario 2:</w:t>
      </w:r>
      <w:r w:rsidRPr="00C5065D">
        <w:rPr>
          <w:rFonts w:ascii="Century Gothic" w:hAnsi="Century Gothic"/>
        </w:rPr>
        <w:t xml:space="preserve"> Municipal-connected generator wheeling to </w:t>
      </w:r>
      <w:r>
        <w:rPr>
          <w:rFonts w:ascii="Century Gothic" w:hAnsi="Century Gothic"/>
        </w:rPr>
        <w:t>within the same municipality to a</w:t>
      </w:r>
      <w:r w:rsidRPr="00C5065D">
        <w:rPr>
          <w:rFonts w:ascii="Century Gothic" w:hAnsi="Century Gothic"/>
        </w:rPr>
        <w:t xml:space="preserve"> Municipal </w:t>
      </w:r>
      <w:r>
        <w:rPr>
          <w:rFonts w:ascii="Century Gothic" w:hAnsi="Century Gothic"/>
        </w:rPr>
        <w:t>off-taker</w:t>
      </w:r>
      <w:r w:rsidRPr="00C5065D">
        <w:rPr>
          <w:rFonts w:ascii="Century Gothic" w:hAnsi="Century Gothic"/>
        </w:rPr>
        <w:t>.</w:t>
      </w:r>
    </w:p>
    <w:p w14:paraId="105A3CD8" w14:textId="77777777" w:rsidR="006A3F14" w:rsidRDefault="006A3F14" w:rsidP="00871EE8">
      <w:pPr>
        <w:pStyle w:val="ListParagraph"/>
        <w:numPr>
          <w:ilvl w:val="0"/>
          <w:numId w:val="8"/>
        </w:numPr>
        <w:spacing w:beforeLines="60" w:before="144" w:afterLines="60" w:after="144" w:line="240" w:lineRule="auto"/>
        <w:contextualSpacing w:val="0"/>
        <w:rPr>
          <w:rFonts w:ascii="Century Gothic" w:hAnsi="Century Gothic"/>
        </w:rPr>
      </w:pPr>
      <w:r w:rsidRPr="00AD3197">
        <w:rPr>
          <w:rFonts w:ascii="Century Gothic" w:hAnsi="Century Gothic"/>
          <w:b/>
          <w:bCs/>
        </w:rPr>
        <w:t>Scenario 3:</w:t>
      </w:r>
      <w:r w:rsidRPr="00C5065D">
        <w:rPr>
          <w:rFonts w:ascii="Century Gothic" w:hAnsi="Century Gothic"/>
        </w:rPr>
        <w:t xml:space="preserve"> Municipal-connected generator wheeling to Eskom-connected </w:t>
      </w:r>
      <w:r>
        <w:rPr>
          <w:rFonts w:ascii="Century Gothic" w:hAnsi="Century Gothic"/>
        </w:rPr>
        <w:t>off-taker</w:t>
      </w:r>
      <w:r w:rsidRPr="00C5065D">
        <w:rPr>
          <w:rFonts w:ascii="Century Gothic" w:hAnsi="Century Gothic"/>
        </w:rPr>
        <w:t xml:space="preserve"> </w:t>
      </w:r>
    </w:p>
    <w:p w14:paraId="70DCD314" w14:textId="1E9E7F02" w:rsidR="006A3F14" w:rsidRDefault="006A3F14" w:rsidP="00871EE8">
      <w:pPr>
        <w:pStyle w:val="ListParagraph"/>
        <w:numPr>
          <w:ilvl w:val="0"/>
          <w:numId w:val="8"/>
        </w:numPr>
        <w:spacing w:beforeLines="60" w:before="144" w:afterLines="60" w:after="144" w:line="240" w:lineRule="auto"/>
        <w:contextualSpacing w:val="0"/>
        <w:rPr>
          <w:rFonts w:ascii="Century Gothic" w:hAnsi="Century Gothic"/>
        </w:rPr>
      </w:pPr>
      <w:r w:rsidRPr="00AD3197">
        <w:rPr>
          <w:rFonts w:ascii="Century Gothic" w:hAnsi="Century Gothic"/>
          <w:b/>
          <w:bCs/>
        </w:rPr>
        <w:t>Scenario 4:</w:t>
      </w:r>
      <w:r w:rsidRPr="00C5065D">
        <w:rPr>
          <w:rFonts w:ascii="Century Gothic" w:hAnsi="Century Gothic"/>
        </w:rPr>
        <w:t xml:space="preserve"> Municipal-connected generator wheeling to a Municipal </w:t>
      </w:r>
      <w:r>
        <w:rPr>
          <w:rFonts w:ascii="Century Gothic" w:hAnsi="Century Gothic"/>
        </w:rPr>
        <w:t>off-taker</w:t>
      </w:r>
      <w:r w:rsidRPr="00C5065D">
        <w:rPr>
          <w:rFonts w:ascii="Century Gothic" w:hAnsi="Century Gothic"/>
        </w:rPr>
        <w:t xml:space="preserve"> in another municipality. This scenario is included for completeness, notwithstanding that there is currently no mechanism contemplated for this. This reflects that there is a need for such a scenario and future work will be required to address this.</w:t>
      </w:r>
      <w:r w:rsidR="007A720B">
        <w:rPr>
          <w:rFonts w:ascii="Century Gothic" w:hAnsi="Century Gothic"/>
        </w:rPr>
        <w:t xml:space="preserve"> </w:t>
      </w:r>
    </w:p>
    <w:p w14:paraId="629A9156" w14:textId="77777777" w:rsidR="006A3F14" w:rsidRDefault="006A3F14" w:rsidP="00871EE8">
      <w:pPr>
        <w:pStyle w:val="ListParagraph"/>
        <w:numPr>
          <w:ilvl w:val="0"/>
          <w:numId w:val="8"/>
        </w:numPr>
        <w:spacing w:beforeLines="60" w:before="144" w:afterLines="60" w:after="144" w:line="240" w:lineRule="auto"/>
        <w:contextualSpacing w:val="0"/>
        <w:rPr>
          <w:rFonts w:ascii="Century Gothic" w:hAnsi="Century Gothic"/>
        </w:rPr>
      </w:pPr>
      <w:r w:rsidRPr="00AD3197">
        <w:rPr>
          <w:rFonts w:ascii="Century Gothic" w:hAnsi="Century Gothic"/>
          <w:b/>
          <w:bCs/>
        </w:rPr>
        <w:t>Scenario 5:</w:t>
      </w:r>
      <w:r>
        <w:rPr>
          <w:rFonts w:ascii="Century Gothic" w:hAnsi="Century Gothic"/>
        </w:rPr>
        <w:t xml:space="preserve"> </w:t>
      </w:r>
      <w:r w:rsidRPr="00C5065D">
        <w:rPr>
          <w:rFonts w:ascii="Century Gothic" w:hAnsi="Century Gothic"/>
        </w:rPr>
        <w:t>Eskom-connected generator wheeling to</w:t>
      </w:r>
      <w:r>
        <w:rPr>
          <w:rFonts w:ascii="Century Gothic" w:hAnsi="Century Gothic"/>
        </w:rPr>
        <w:t xml:space="preserve"> </w:t>
      </w:r>
      <w:r w:rsidRPr="00C5065D">
        <w:rPr>
          <w:rFonts w:ascii="Century Gothic" w:hAnsi="Century Gothic"/>
        </w:rPr>
        <w:t xml:space="preserve">Eskom-connected </w:t>
      </w:r>
      <w:r>
        <w:rPr>
          <w:rFonts w:ascii="Century Gothic" w:hAnsi="Century Gothic"/>
        </w:rPr>
        <w:t>off-taker (not applicable for this document)</w:t>
      </w:r>
    </w:p>
    <w:p w14:paraId="5EC67FCF" w14:textId="77777777" w:rsidR="006A3F14" w:rsidRPr="004F54CD" w:rsidRDefault="006A3F14" w:rsidP="009E17B0">
      <w:pPr>
        <w:spacing w:beforeLines="60" w:before="144" w:afterLines="60" w:after="144" w:line="240" w:lineRule="auto"/>
        <w:rPr>
          <w:rFonts w:ascii="Century Gothic" w:hAnsi="Century Gothic"/>
        </w:rPr>
      </w:pPr>
      <w:r>
        <w:rPr>
          <w:rFonts w:ascii="Century Gothic" w:hAnsi="Century Gothic"/>
        </w:rPr>
        <w:t xml:space="preserve">There may be a trader involved where energy from one or more generators, is allocated to multiple off-takers. </w:t>
      </w:r>
      <w:r w:rsidRPr="000F7C84">
        <w:rPr>
          <w:rFonts w:ascii="Century Gothic" w:hAnsi="Century Gothic"/>
        </w:rPr>
        <w:t xml:space="preserve"> </w:t>
      </w:r>
    </w:p>
    <w:p w14:paraId="002213CD" w14:textId="77777777" w:rsidR="006A3F14" w:rsidRPr="005C6FE0" w:rsidRDefault="006A3F14" w:rsidP="009E17B0">
      <w:pPr>
        <w:spacing w:beforeLines="60" w:before="144" w:afterLines="60" w:after="144" w:line="240" w:lineRule="auto"/>
        <w:rPr>
          <w:rFonts w:ascii="Century Gothic" w:hAnsi="Century Gothic"/>
        </w:rPr>
      </w:pPr>
      <w:r w:rsidRPr="005C6FE0">
        <w:rPr>
          <w:rFonts w:ascii="Century Gothic" w:hAnsi="Century Gothic"/>
        </w:rPr>
        <w:lastRenderedPageBreak/>
        <w:t>In cases where multiple generators supply electricity to multiple end-users, complex energy transactions and arrangements between different parties can be facilitated by implementing the following key enablers:</w:t>
      </w:r>
    </w:p>
    <w:p w14:paraId="365E4CA8" w14:textId="164EF12E" w:rsidR="006A3F14" w:rsidRPr="005C6FE0" w:rsidRDefault="006A3F14" w:rsidP="00871EE8">
      <w:pPr>
        <w:pStyle w:val="ListParagraph"/>
        <w:numPr>
          <w:ilvl w:val="0"/>
          <w:numId w:val="8"/>
        </w:numPr>
        <w:spacing w:beforeLines="60" w:before="144" w:afterLines="60" w:after="144" w:line="240" w:lineRule="auto"/>
        <w:contextualSpacing w:val="0"/>
        <w:rPr>
          <w:rFonts w:ascii="Century Gothic" w:hAnsi="Century Gothic"/>
        </w:rPr>
      </w:pPr>
      <w:r w:rsidRPr="00AD3197">
        <w:rPr>
          <w:rFonts w:ascii="Century Gothic" w:hAnsi="Century Gothic"/>
          <w:b/>
        </w:rPr>
        <w:t>Eskom virtual wheeling</w:t>
      </w:r>
      <w:r w:rsidRPr="00FE15F0">
        <w:rPr>
          <w:rFonts w:ascii="Century Gothic" w:hAnsi="Century Gothic"/>
          <w:bCs/>
        </w:rPr>
        <w:t>: This</w:t>
      </w:r>
      <w:r w:rsidRPr="005C6FE0">
        <w:rPr>
          <w:rFonts w:ascii="Century Gothic" w:hAnsi="Century Gothic"/>
        </w:rPr>
        <w:t xml:space="preserve"> refers to the accounting and financial arrangement where energy from a generator connected to the Eskom transmission network is virtually allocated and credited to an end-user without physical energy transfer.</w:t>
      </w:r>
      <w:r w:rsidR="0097271B">
        <w:rPr>
          <w:rFonts w:ascii="Century Gothic" w:hAnsi="Century Gothic"/>
        </w:rPr>
        <w:t xml:space="preserve"> R</w:t>
      </w:r>
      <w:r w:rsidR="0097271B" w:rsidRPr="0097271B">
        <w:rPr>
          <w:rFonts w:ascii="Century Gothic" w:hAnsi="Century Gothic"/>
        </w:rPr>
        <w:t xml:space="preserve">efer to the Eskom Virtual wheeling guide </w:t>
      </w:r>
      <w:hyperlink r:id="rId47" w:history="1">
        <w:r w:rsidR="0097271B" w:rsidRPr="0097271B">
          <w:rPr>
            <w:rStyle w:val="Hyperlink"/>
            <w:rFonts w:ascii="Century Gothic" w:hAnsi="Century Gothic"/>
          </w:rPr>
          <w:t>https://www.eskom.co.za/distribution/wp-content/uploads/2023/07/20230710_-9553-Virtual-Wheeling-Digital-Brochure-FINAL.pdf</w:t>
        </w:r>
      </w:hyperlink>
    </w:p>
    <w:p w14:paraId="7B5368D5" w14:textId="113F57CC" w:rsidR="006A3F14" w:rsidRPr="005C6FE0" w:rsidRDefault="006A3F14" w:rsidP="00871EE8">
      <w:pPr>
        <w:pStyle w:val="ListParagraph"/>
        <w:numPr>
          <w:ilvl w:val="0"/>
          <w:numId w:val="8"/>
        </w:numPr>
        <w:spacing w:beforeLines="60" w:before="144" w:afterLines="60" w:after="144" w:line="240" w:lineRule="auto"/>
        <w:contextualSpacing w:val="0"/>
        <w:rPr>
          <w:rFonts w:ascii="Century Gothic" w:hAnsi="Century Gothic"/>
        </w:rPr>
      </w:pPr>
      <w:r w:rsidRPr="00AD3197">
        <w:rPr>
          <w:rFonts w:ascii="Century Gothic" w:hAnsi="Century Gothic"/>
          <w:b/>
        </w:rPr>
        <w:t>Energy traders, aggregators or retailers:</w:t>
      </w:r>
      <w:r w:rsidRPr="00B24864">
        <w:rPr>
          <w:rFonts w:ascii="Century Gothic" w:hAnsi="Century Gothic"/>
        </w:rPr>
        <w:t xml:space="preserve"> Acting as intermediaries, they purchase power from multiple generators and sell it to multiple end-users, or they purchase power from an Independent Power Producer (IPP) and sell it to an end-user. </w:t>
      </w:r>
    </w:p>
    <w:p w14:paraId="49E9ADE3" w14:textId="77777777" w:rsidR="006A3F14" w:rsidRPr="005C6FE0" w:rsidRDefault="006A3F14" w:rsidP="009E17B0">
      <w:pPr>
        <w:spacing w:beforeLines="60" w:before="144" w:afterLines="60" w:after="144" w:line="240" w:lineRule="auto"/>
        <w:rPr>
          <w:rFonts w:ascii="Century Gothic" w:hAnsi="Century Gothic"/>
        </w:rPr>
      </w:pPr>
      <w:r w:rsidRPr="005C6FE0">
        <w:rPr>
          <w:rFonts w:ascii="Century Gothic" w:hAnsi="Century Gothic"/>
        </w:rPr>
        <w:t>Additionally, wheeling scenarios may involve agreements that allow for curtailment or demand response measures, where the amount of electricity wheeled may vary based on specific conditions or requirements. There can also be specific wheeling arrangements for special customer categories, such as mining or industrial customers with high power demands.</w:t>
      </w:r>
    </w:p>
    <w:p w14:paraId="24C0B6B5" w14:textId="77777777" w:rsidR="006A3F14" w:rsidRDefault="006A3F14" w:rsidP="009E17B0">
      <w:pPr>
        <w:spacing w:beforeLines="60" w:before="144" w:afterLines="60" w:after="144" w:line="240" w:lineRule="auto"/>
        <w:rPr>
          <w:rFonts w:ascii="Century Gothic" w:hAnsi="Century Gothic"/>
        </w:rPr>
      </w:pPr>
      <w:r w:rsidRPr="00E55368">
        <w:rPr>
          <w:rFonts w:ascii="Century Gothic" w:hAnsi="Century Gothic"/>
        </w:rPr>
        <w:t xml:space="preserve">For illustrative purpose, figures were created to show the contractual agreements as well as </w:t>
      </w:r>
      <w:r w:rsidRPr="00CE3EC0">
        <w:rPr>
          <w:rFonts w:ascii="Century Gothic" w:hAnsi="Century Gothic"/>
        </w:rPr>
        <w:t>the billing that will take place.</w:t>
      </w:r>
      <w:bookmarkStart w:id="28" w:name="_3dy6vkm" w:colFirst="0" w:colLast="0"/>
      <w:bookmarkStart w:id="29" w:name="_2s8eyo1" w:colFirst="0" w:colLast="0"/>
      <w:bookmarkStart w:id="30" w:name="_17dp8vu" w:colFirst="0" w:colLast="0"/>
      <w:bookmarkStart w:id="31" w:name="_Toc134598046"/>
      <w:bookmarkEnd w:id="28"/>
      <w:bookmarkEnd w:id="29"/>
      <w:bookmarkEnd w:id="30"/>
    </w:p>
    <w:p w14:paraId="09805089" w14:textId="7AD36DFA" w:rsidR="005C61E8" w:rsidRPr="009D7215" w:rsidRDefault="007B0EC6" w:rsidP="009E17B0">
      <w:pPr>
        <w:spacing w:beforeLines="60" w:before="144" w:afterLines="60" w:after="144" w:line="240" w:lineRule="auto"/>
        <w:rPr>
          <w:rFonts w:ascii="Century Gothic" w:hAnsi="Century Gothic"/>
          <w:b/>
          <w:bCs/>
          <w:u w:val="single"/>
        </w:rPr>
      </w:pPr>
      <w:r w:rsidRPr="009D7215">
        <w:rPr>
          <w:rFonts w:ascii="Century Gothic" w:hAnsi="Century Gothic"/>
          <w:b/>
          <w:bCs/>
          <w:u w:val="single"/>
        </w:rPr>
        <w:t>Th</w:t>
      </w:r>
      <w:r w:rsidR="00320840" w:rsidRPr="009D7215">
        <w:rPr>
          <w:rFonts w:ascii="Century Gothic" w:hAnsi="Century Gothic"/>
          <w:b/>
          <w:bCs/>
          <w:u w:val="single"/>
        </w:rPr>
        <w:t>e</w:t>
      </w:r>
      <w:r w:rsidRPr="009D7215">
        <w:rPr>
          <w:rFonts w:ascii="Century Gothic" w:hAnsi="Century Gothic"/>
          <w:b/>
          <w:bCs/>
          <w:u w:val="single"/>
        </w:rPr>
        <w:t xml:space="preserve"> embedded document</w:t>
      </w:r>
      <w:r w:rsidR="009D7215">
        <w:rPr>
          <w:rFonts w:ascii="Century Gothic" w:hAnsi="Century Gothic"/>
          <w:b/>
          <w:bCs/>
          <w:u w:val="single"/>
        </w:rPr>
        <w:t xml:space="preserve"> </w:t>
      </w:r>
      <w:r w:rsidR="009D7215" w:rsidRPr="009D7215">
        <w:rPr>
          <w:rFonts w:ascii="Century Gothic" w:hAnsi="Century Gothic"/>
          <w:b/>
          <w:bCs/>
          <w:u w:val="single"/>
        </w:rPr>
        <w:t xml:space="preserve">in section 3, Infographic on </w:t>
      </w:r>
      <w:r w:rsidR="00B13A77" w:rsidRPr="009D7215">
        <w:rPr>
          <w:rFonts w:ascii="Century Gothic" w:hAnsi="Century Gothic"/>
          <w:b/>
          <w:bCs/>
          <w:u w:val="single"/>
        </w:rPr>
        <w:t>steps</w:t>
      </w:r>
      <w:r w:rsidR="00B13A77">
        <w:rPr>
          <w:rFonts w:ascii="Century Gothic" w:hAnsi="Century Gothic"/>
          <w:b/>
          <w:bCs/>
          <w:u w:val="single"/>
        </w:rPr>
        <w:t xml:space="preserve"> </w:t>
      </w:r>
      <w:r w:rsidR="00B13A77" w:rsidRPr="009D7215">
        <w:rPr>
          <w:rFonts w:ascii="Century Gothic" w:hAnsi="Century Gothic"/>
          <w:b/>
          <w:bCs/>
          <w:u w:val="single"/>
        </w:rPr>
        <w:t>provides</w:t>
      </w:r>
      <w:r w:rsidR="00133844" w:rsidRPr="009D7215">
        <w:rPr>
          <w:rFonts w:ascii="Century Gothic" w:hAnsi="Century Gothic"/>
          <w:b/>
          <w:bCs/>
          <w:u w:val="single"/>
        </w:rPr>
        <w:t xml:space="preserve"> all the scenario images in editable format</w:t>
      </w:r>
      <w:r w:rsidR="00320840" w:rsidRPr="009D7215">
        <w:rPr>
          <w:rFonts w:ascii="Century Gothic" w:hAnsi="Century Gothic"/>
          <w:b/>
          <w:bCs/>
          <w:u w:val="single"/>
        </w:rPr>
        <w:t xml:space="preserve"> </w:t>
      </w:r>
    </w:p>
    <w:p w14:paraId="102DFE0C" w14:textId="3683B86E" w:rsidR="006A3F14" w:rsidRPr="00856564" w:rsidRDefault="006A3F14" w:rsidP="009E17B0">
      <w:pPr>
        <w:spacing w:beforeLines="60" w:before="144" w:afterLines="60" w:after="144" w:line="240" w:lineRule="auto"/>
        <w:rPr>
          <w:rFonts w:ascii="Century Gothic" w:hAnsi="Century Gothic"/>
        </w:rPr>
      </w:pPr>
      <w:r w:rsidRPr="00985890">
        <w:rPr>
          <w:rFonts w:ascii="Century Gothic" w:hAnsi="Century Gothic"/>
          <w:b/>
          <w:bCs/>
          <w:u w:val="single"/>
        </w:rPr>
        <w:t>Scenario 1</w:t>
      </w:r>
      <w:r w:rsidR="00B21D5D">
        <w:rPr>
          <w:rFonts w:ascii="Century Gothic" w:hAnsi="Century Gothic"/>
          <w:b/>
          <w:bCs/>
          <w:u w:val="single"/>
        </w:rPr>
        <w:t>a</w:t>
      </w:r>
      <w:r w:rsidRPr="00985890">
        <w:rPr>
          <w:rFonts w:ascii="Century Gothic" w:hAnsi="Century Gothic"/>
          <w:b/>
          <w:bCs/>
          <w:u w:val="single"/>
        </w:rPr>
        <w:t xml:space="preserve">: Eskom-connected generator wheeling to a Municipal </w:t>
      </w:r>
      <w:r>
        <w:rPr>
          <w:rFonts w:ascii="Century Gothic" w:hAnsi="Century Gothic"/>
          <w:b/>
          <w:bCs/>
          <w:u w:val="single"/>
        </w:rPr>
        <w:t>off-taker</w:t>
      </w:r>
      <w:r w:rsidRPr="00985890">
        <w:rPr>
          <w:rFonts w:ascii="Century Gothic" w:hAnsi="Century Gothic"/>
          <w:b/>
          <w:bCs/>
          <w:u w:val="single"/>
        </w:rPr>
        <w:t>.</w:t>
      </w:r>
      <w:bookmarkEnd w:id="31"/>
    </w:p>
    <w:p w14:paraId="59C2D27A" w14:textId="3D754754" w:rsidR="00CE3EC0" w:rsidRPr="00941098" w:rsidRDefault="00522800" w:rsidP="009E17B0">
      <w:pPr>
        <w:spacing w:beforeLines="60" w:before="144" w:afterLines="60" w:after="144" w:line="240" w:lineRule="auto"/>
        <w:rPr>
          <w:rFonts w:ascii="Century Gothic" w:hAnsi="Century Gothic"/>
        </w:rPr>
      </w:pPr>
      <w:r w:rsidRPr="00522800">
        <w:rPr>
          <w:noProof/>
        </w:rPr>
        <w:drawing>
          <wp:inline distT="0" distB="0" distL="0" distR="0" wp14:anchorId="443EA4DA" wp14:editId="6C44F2F0">
            <wp:extent cx="5835949" cy="3199262"/>
            <wp:effectExtent l="76200" t="76200" r="127000" b="134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848358" cy="32060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Century Gothic" w:hAnsi="Century Gothic"/>
        </w:rPr>
        <w:br w:type="textWrapping" w:clear="all"/>
      </w:r>
    </w:p>
    <w:p w14:paraId="4F77BFFD" w14:textId="3085DF93" w:rsidR="006A3F14" w:rsidRPr="00941098" w:rsidRDefault="006A3F14" w:rsidP="009E17B0">
      <w:pPr>
        <w:spacing w:beforeLines="60" w:before="144" w:afterLines="60" w:after="144" w:line="240" w:lineRule="auto"/>
        <w:rPr>
          <w:rFonts w:ascii="Century Gothic" w:hAnsi="Century Gothic"/>
        </w:rPr>
      </w:pPr>
      <w:r w:rsidRPr="00941098">
        <w:rPr>
          <w:rFonts w:ascii="Century Gothic" w:hAnsi="Century Gothic"/>
        </w:rPr>
        <w:t>In this wheeling scenario, the Generator is located outside the municipality's network, and the off</w:t>
      </w:r>
      <w:r w:rsidR="009E4B8C">
        <w:rPr>
          <w:rFonts w:ascii="Century Gothic" w:hAnsi="Century Gothic"/>
        </w:rPr>
        <w:t>-</w:t>
      </w:r>
      <w:r w:rsidRPr="00941098">
        <w:rPr>
          <w:rFonts w:ascii="Century Gothic" w:hAnsi="Century Gothic"/>
        </w:rPr>
        <w:t>taker is situated within the municipality</w:t>
      </w:r>
      <w:r w:rsidR="001654F8">
        <w:rPr>
          <w:rFonts w:ascii="Century Gothic" w:hAnsi="Century Gothic"/>
        </w:rPr>
        <w:t>’</w:t>
      </w:r>
      <w:r w:rsidRPr="00941098">
        <w:rPr>
          <w:rFonts w:ascii="Century Gothic" w:hAnsi="Century Gothic"/>
        </w:rPr>
        <w:t>s network. This scenario requires the generator to comply with the Eskom’s connection requirements and the generator must apply to Eskom for grid connection.</w:t>
      </w:r>
    </w:p>
    <w:p w14:paraId="400D3E80" w14:textId="77777777" w:rsidR="006A3F14" w:rsidRPr="00941098" w:rsidRDefault="006A3F14" w:rsidP="009E17B0">
      <w:pPr>
        <w:pBdr>
          <w:top w:val="nil"/>
          <w:left w:val="nil"/>
          <w:bottom w:val="nil"/>
          <w:right w:val="nil"/>
          <w:between w:val="nil"/>
        </w:pBdr>
        <w:spacing w:beforeLines="60" w:before="144" w:afterLines="60" w:after="144" w:line="240" w:lineRule="auto"/>
        <w:rPr>
          <w:rFonts w:ascii="Century Gothic" w:hAnsi="Century Gothic"/>
          <w:color w:val="000000"/>
        </w:rPr>
      </w:pPr>
      <w:r w:rsidRPr="00941098">
        <w:rPr>
          <w:rFonts w:ascii="Century Gothic" w:hAnsi="Century Gothic"/>
          <w:color w:val="000000"/>
        </w:rPr>
        <w:t>The following agreements will need to be put in place in this scenario:</w:t>
      </w:r>
    </w:p>
    <w:p w14:paraId="57239C6D" w14:textId="77777777" w:rsidR="006A3F14" w:rsidRPr="00941098" w:rsidRDefault="006A3F14" w:rsidP="00541C65">
      <w:pPr>
        <w:pStyle w:val="ListParagraph"/>
        <w:numPr>
          <w:ilvl w:val="0"/>
          <w:numId w:val="4"/>
        </w:numPr>
        <w:pBdr>
          <w:top w:val="nil"/>
          <w:left w:val="nil"/>
          <w:bottom w:val="nil"/>
          <w:right w:val="nil"/>
          <w:between w:val="nil"/>
        </w:pBdr>
        <w:spacing w:beforeLines="60" w:before="144" w:afterLines="60" w:after="144" w:line="240" w:lineRule="auto"/>
        <w:contextualSpacing w:val="0"/>
        <w:rPr>
          <w:rFonts w:ascii="Century Gothic" w:hAnsi="Century Gothic"/>
        </w:rPr>
      </w:pPr>
      <w:r w:rsidRPr="00941098">
        <w:rPr>
          <w:rFonts w:ascii="Century Gothic" w:hAnsi="Century Gothic"/>
        </w:rPr>
        <w:t>An amended supply agreement between Eskom and the Municipality to reflect that wheeling credits will be added to the bill.</w:t>
      </w:r>
    </w:p>
    <w:p w14:paraId="0C34D8F8" w14:textId="77777777" w:rsidR="006A3F14" w:rsidRPr="00941098" w:rsidRDefault="006A3F14" w:rsidP="00541C65">
      <w:pPr>
        <w:pStyle w:val="ListParagraph"/>
        <w:numPr>
          <w:ilvl w:val="0"/>
          <w:numId w:val="4"/>
        </w:numPr>
        <w:pBdr>
          <w:top w:val="nil"/>
          <w:left w:val="nil"/>
          <w:bottom w:val="nil"/>
          <w:right w:val="nil"/>
          <w:between w:val="nil"/>
        </w:pBdr>
        <w:spacing w:beforeLines="60" w:before="144" w:afterLines="60" w:after="144" w:line="240" w:lineRule="auto"/>
        <w:contextualSpacing w:val="0"/>
        <w:rPr>
          <w:rFonts w:ascii="Century Gothic" w:hAnsi="Century Gothic"/>
        </w:rPr>
      </w:pPr>
      <w:r w:rsidRPr="00941098">
        <w:rPr>
          <w:rFonts w:ascii="Century Gothic" w:hAnsi="Century Gothic"/>
        </w:rPr>
        <w:lastRenderedPageBreak/>
        <w:t>An amended electricity supply agreement between the Municipality and the Off-taker to reflect that wheeling credits will be added to the bill.</w:t>
      </w:r>
    </w:p>
    <w:p w14:paraId="62744DA0" w14:textId="5D41028A" w:rsidR="006A3F14" w:rsidRPr="00941098" w:rsidRDefault="006A3F14" w:rsidP="00541C65">
      <w:pPr>
        <w:pStyle w:val="ListParagraph"/>
        <w:numPr>
          <w:ilvl w:val="0"/>
          <w:numId w:val="4"/>
        </w:numPr>
        <w:pBdr>
          <w:top w:val="nil"/>
          <w:left w:val="nil"/>
          <w:bottom w:val="nil"/>
          <w:right w:val="nil"/>
          <w:between w:val="nil"/>
        </w:pBdr>
        <w:spacing w:beforeLines="60" w:before="144" w:afterLines="60" w:after="144" w:line="240" w:lineRule="auto"/>
        <w:contextualSpacing w:val="0"/>
        <w:rPr>
          <w:rFonts w:ascii="Century Gothic" w:hAnsi="Century Gothic"/>
        </w:rPr>
      </w:pPr>
      <w:r w:rsidRPr="00941098">
        <w:rPr>
          <w:rFonts w:ascii="Century Gothic" w:hAnsi="Century Gothic"/>
        </w:rPr>
        <w:t xml:space="preserve">A </w:t>
      </w:r>
      <w:r w:rsidR="001654F8">
        <w:rPr>
          <w:rFonts w:ascii="Century Gothic" w:hAnsi="Century Gothic"/>
        </w:rPr>
        <w:t>Power Purchase Agreement (</w:t>
      </w:r>
      <w:r w:rsidRPr="00941098">
        <w:rPr>
          <w:rFonts w:ascii="Century Gothic" w:hAnsi="Century Gothic"/>
        </w:rPr>
        <w:t>PPA</w:t>
      </w:r>
      <w:r w:rsidR="001654F8">
        <w:rPr>
          <w:rFonts w:ascii="Century Gothic" w:hAnsi="Century Gothic"/>
        </w:rPr>
        <w:t>)</w:t>
      </w:r>
      <w:r w:rsidRPr="00941098">
        <w:rPr>
          <w:rFonts w:ascii="Century Gothic" w:hAnsi="Century Gothic"/>
        </w:rPr>
        <w:t xml:space="preserve"> between the Generator or Trader</w:t>
      </w:r>
      <w:r w:rsidR="006721D6">
        <w:rPr>
          <w:rFonts w:ascii="Century Gothic" w:hAnsi="Century Gothic"/>
        </w:rPr>
        <w:t xml:space="preserve"> (see section below)</w:t>
      </w:r>
      <w:r w:rsidRPr="00941098">
        <w:rPr>
          <w:rFonts w:ascii="Century Gothic" w:hAnsi="Century Gothic"/>
        </w:rPr>
        <w:t xml:space="preserve"> and the Off-taker.</w:t>
      </w:r>
    </w:p>
    <w:p w14:paraId="22D2E16C" w14:textId="72C77D20" w:rsidR="006A3F14" w:rsidRPr="00941098" w:rsidRDefault="006A3F14" w:rsidP="00541C65">
      <w:pPr>
        <w:pStyle w:val="ListParagraph"/>
        <w:numPr>
          <w:ilvl w:val="0"/>
          <w:numId w:val="4"/>
        </w:numPr>
        <w:pBdr>
          <w:top w:val="nil"/>
          <w:left w:val="nil"/>
          <w:bottom w:val="nil"/>
          <w:right w:val="nil"/>
          <w:between w:val="nil"/>
        </w:pBdr>
        <w:spacing w:beforeLines="60" w:before="144" w:afterLines="60" w:after="144" w:line="240" w:lineRule="auto"/>
        <w:contextualSpacing w:val="0"/>
        <w:rPr>
          <w:rFonts w:ascii="Century Gothic" w:hAnsi="Century Gothic"/>
        </w:rPr>
      </w:pPr>
      <w:r w:rsidRPr="00941098">
        <w:rPr>
          <w:rFonts w:ascii="Century Gothic" w:hAnsi="Century Gothic"/>
        </w:rPr>
        <w:t>A use</w:t>
      </w:r>
      <w:r w:rsidR="00595158">
        <w:rPr>
          <w:rFonts w:ascii="Century Gothic" w:hAnsi="Century Gothic"/>
        </w:rPr>
        <w:t>-</w:t>
      </w:r>
      <w:r w:rsidRPr="00941098">
        <w:rPr>
          <w:rFonts w:ascii="Century Gothic" w:hAnsi="Century Gothic"/>
        </w:rPr>
        <w:t>of</w:t>
      </w:r>
      <w:r w:rsidR="00595158">
        <w:rPr>
          <w:rFonts w:ascii="Century Gothic" w:hAnsi="Century Gothic"/>
        </w:rPr>
        <w:t>-</w:t>
      </w:r>
      <w:r w:rsidRPr="00941098">
        <w:rPr>
          <w:rFonts w:ascii="Century Gothic" w:hAnsi="Century Gothic"/>
        </w:rPr>
        <w:t>system agreement between the Generator and Eskom to reflect the allocation of the total energy exported to the grid to be credited to the Off-taker</w:t>
      </w:r>
      <w:r w:rsidR="00BC6FC8">
        <w:rPr>
          <w:rFonts w:ascii="Century Gothic" w:hAnsi="Century Gothic"/>
        </w:rPr>
        <w:t>.</w:t>
      </w:r>
    </w:p>
    <w:p w14:paraId="3455991D" w14:textId="77777777" w:rsidR="00CE3EC0" w:rsidRPr="00941098" w:rsidRDefault="00CE3EC0" w:rsidP="00871EE8">
      <w:pPr>
        <w:pStyle w:val="ListParagraph"/>
        <w:numPr>
          <w:ilvl w:val="0"/>
          <w:numId w:val="8"/>
        </w:numPr>
        <w:spacing w:beforeLines="60" w:before="144" w:afterLines="60" w:after="144" w:line="240" w:lineRule="auto"/>
        <w:contextualSpacing w:val="0"/>
        <w:rPr>
          <w:rFonts w:ascii="Century Gothic" w:hAnsi="Century Gothic"/>
        </w:rPr>
      </w:pPr>
      <w:r w:rsidRPr="00941098">
        <w:rPr>
          <w:rFonts w:ascii="Century Gothic" w:hAnsi="Century Gothic"/>
        </w:rPr>
        <w:t>If a trader is used, the following additional agreements are required:</w:t>
      </w:r>
    </w:p>
    <w:p w14:paraId="52DFAECC" w14:textId="77777777" w:rsidR="00CE3EC0" w:rsidRPr="00941098" w:rsidRDefault="00CE3EC0" w:rsidP="00871EE8">
      <w:pPr>
        <w:pStyle w:val="ListParagraph"/>
        <w:numPr>
          <w:ilvl w:val="0"/>
          <w:numId w:val="40"/>
        </w:numPr>
        <w:spacing w:beforeLines="60" w:before="144" w:afterLines="60" w:after="144" w:line="240" w:lineRule="auto"/>
        <w:contextualSpacing w:val="0"/>
        <w:rPr>
          <w:rFonts w:ascii="Century Gothic" w:hAnsi="Century Gothic"/>
        </w:rPr>
      </w:pPr>
      <w:r w:rsidRPr="00941098">
        <w:rPr>
          <w:rFonts w:ascii="Century Gothic" w:hAnsi="Century Gothic"/>
        </w:rPr>
        <w:t>Generator PPA: Between the Generator and Trader, including term and pricing</w:t>
      </w:r>
    </w:p>
    <w:p w14:paraId="6A41A9F7" w14:textId="77777777" w:rsidR="00CE3EC0" w:rsidRPr="00941098" w:rsidRDefault="00CE3EC0" w:rsidP="00871EE8">
      <w:pPr>
        <w:pStyle w:val="ListParagraph"/>
        <w:numPr>
          <w:ilvl w:val="0"/>
          <w:numId w:val="40"/>
        </w:numPr>
        <w:spacing w:beforeLines="60" w:before="144" w:afterLines="60" w:after="144" w:line="240" w:lineRule="auto"/>
        <w:contextualSpacing w:val="0"/>
        <w:rPr>
          <w:rFonts w:ascii="Century Gothic" w:hAnsi="Century Gothic"/>
        </w:rPr>
      </w:pPr>
      <w:r w:rsidRPr="00941098">
        <w:rPr>
          <w:rFonts w:ascii="Century Gothic" w:hAnsi="Century Gothic"/>
        </w:rPr>
        <w:t>Customer PPA: Between the Trader and the off-taker, including term and pricing</w:t>
      </w:r>
    </w:p>
    <w:p w14:paraId="2709C1F6" w14:textId="2B9B6D71" w:rsidR="006A3F14" w:rsidRPr="004735C4" w:rsidRDefault="00CE3EC0" w:rsidP="00871EE8">
      <w:pPr>
        <w:pStyle w:val="ListParagraph"/>
        <w:numPr>
          <w:ilvl w:val="0"/>
          <w:numId w:val="40"/>
        </w:numPr>
        <w:spacing w:beforeLines="60" w:before="144" w:afterLines="60" w:after="144" w:line="240" w:lineRule="auto"/>
        <w:contextualSpacing w:val="0"/>
        <w:rPr>
          <w:rFonts w:ascii="Century Gothic" w:hAnsi="Century Gothic"/>
        </w:rPr>
      </w:pPr>
      <w:r w:rsidRPr="00941098">
        <w:rPr>
          <w:rFonts w:ascii="Century Gothic" w:hAnsi="Century Gothic"/>
        </w:rPr>
        <w:t>If wheeling is done in a municipality, a</w:t>
      </w:r>
      <w:r w:rsidR="00D4190A">
        <w:rPr>
          <w:rFonts w:ascii="Century Gothic" w:hAnsi="Century Gothic"/>
        </w:rPr>
        <w:t xml:space="preserve"> Munic</w:t>
      </w:r>
      <w:r w:rsidR="00E343C3">
        <w:rPr>
          <w:rFonts w:ascii="Century Gothic" w:hAnsi="Century Gothic"/>
        </w:rPr>
        <w:t>ipal</w:t>
      </w:r>
      <w:r w:rsidRPr="00941098">
        <w:rPr>
          <w:rFonts w:ascii="Century Gothic" w:hAnsi="Century Gothic"/>
        </w:rPr>
        <w:t xml:space="preserve"> Use of Systems Agreement (</w:t>
      </w:r>
      <w:proofErr w:type="spellStart"/>
      <w:r w:rsidRPr="00941098">
        <w:rPr>
          <w:rFonts w:ascii="Century Gothic" w:hAnsi="Century Gothic"/>
        </w:rPr>
        <w:t>UoSA</w:t>
      </w:r>
      <w:proofErr w:type="spellEnd"/>
      <w:r w:rsidRPr="00941098">
        <w:rPr>
          <w:rFonts w:ascii="Century Gothic" w:hAnsi="Century Gothic"/>
        </w:rPr>
        <w:t>) must be signed</w:t>
      </w:r>
      <w:r w:rsidR="00D31D2A">
        <w:rPr>
          <w:rFonts w:ascii="Century Gothic" w:hAnsi="Century Gothic"/>
        </w:rPr>
        <w:t xml:space="preserve"> between the trader and the Municipality</w:t>
      </w:r>
    </w:p>
    <w:p w14:paraId="32CAB116" w14:textId="77777777" w:rsidR="006A3F14" w:rsidRPr="00941098" w:rsidRDefault="006A3F14" w:rsidP="009E17B0">
      <w:pPr>
        <w:spacing w:beforeLines="60" w:before="144" w:afterLines="60" w:after="144" w:line="240" w:lineRule="auto"/>
        <w:rPr>
          <w:rFonts w:ascii="Century Gothic" w:hAnsi="Century Gothic"/>
        </w:rPr>
      </w:pPr>
      <w:r w:rsidRPr="00941098">
        <w:rPr>
          <w:rFonts w:ascii="Century Gothic" w:hAnsi="Century Gothic"/>
        </w:rPr>
        <w:t>Implementing wheeling from Eskom-connected generators has a range of benefits which include:</w:t>
      </w:r>
    </w:p>
    <w:p w14:paraId="24F87322" w14:textId="77777777" w:rsidR="006A3F14" w:rsidRPr="00941098" w:rsidRDefault="006A3F14" w:rsidP="00541C65">
      <w:pPr>
        <w:pStyle w:val="ListParagraph"/>
        <w:numPr>
          <w:ilvl w:val="0"/>
          <w:numId w:val="4"/>
        </w:numPr>
        <w:pBdr>
          <w:top w:val="nil"/>
          <w:left w:val="nil"/>
          <w:bottom w:val="nil"/>
          <w:right w:val="nil"/>
          <w:between w:val="nil"/>
        </w:pBdr>
        <w:spacing w:beforeLines="60" w:before="144" w:afterLines="60" w:after="144" w:line="240" w:lineRule="auto"/>
        <w:contextualSpacing w:val="0"/>
        <w:rPr>
          <w:rFonts w:ascii="Century Gothic" w:hAnsi="Century Gothic"/>
        </w:rPr>
      </w:pPr>
      <w:r w:rsidRPr="00941098">
        <w:rPr>
          <w:rFonts w:ascii="Century Gothic" w:hAnsi="Century Gothic"/>
        </w:rPr>
        <w:t>Generators can be located in areas with highest renewable energy resource.</w:t>
      </w:r>
    </w:p>
    <w:p w14:paraId="6A65A688" w14:textId="77777777" w:rsidR="006A3F14" w:rsidRPr="00941098" w:rsidRDefault="006A3F14" w:rsidP="00541C65">
      <w:pPr>
        <w:pStyle w:val="ListParagraph"/>
        <w:numPr>
          <w:ilvl w:val="0"/>
          <w:numId w:val="4"/>
        </w:numPr>
        <w:pBdr>
          <w:top w:val="nil"/>
          <w:left w:val="nil"/>
          <w:bottom w:val="nil"/>
          <w:right w:val="nil"/>
          <w:between w:val="nil"/>
        </w:pBdr>
        <w:spacing w:beforeLines="60" w:before="144" w:afterLines="60" w:after="144" w:line="240" w:lineRule="auto"/>
        <w:contextualSpacing w:val="0"/>
        <w:rPr>
          <w:rFonts w:ascii="Century Gothic" w:hAnsi="Century Gothic"/>
        </w:rPr>
      </w:pPr>
      <w:r w:rsidRPr="00941098">
        <w:rPr>
          <w:rFonts w:ascii="Century Gothic" w:hAnsi="Century Gothic"/>
        </w:rPr>
        <w:t>Eskom’s transmission network has capacity for much larger generators than the Municipal network.</w:t>
      </w:r>
    </w:p>
    <w:p w14:paraId="58B29EAC" w14:textId="77777777" w:rsidR="006A3F14" w:rsidRPr="00941098" w:rsidRDefault="006A3F14" w:rsidP="00541C65">
      <w:pPr>
        <w:pStyle w:val="ListParagraph"/>
        <w:numPr>
          <w:ilvl w:val="0"/>
          <w:numId w:val="4"/>
        </w:numPr>
        <w:pBdr>
          <w:top w:val="nil"/>
          <w:left w:val="nil"/>
          <w:bottom w:val="nil"/>
          <w:right w:val="nil"/>
          <w:between w:val="nil"/>
        </w:pBdr>
        <w:spacing w:beforeLines="60" w:before="144" w:afterLines="60" w:after="144" w:line="240" w:lineRule="auto"/>
        <w:contextualSpacing w:val="0"/>
        <w:rPr>
          <w:rFonts w:ascii="Century Gothic" w:hAnsi="Century Gothic"/>
        </w:rPr>
      </w:pPr>
      <w:r w:rsidRPr="00941098">
        <w:rPr>
          <w:rFonts w:ascii="Century Gothic" w:hAnsi="Century Gothic"/>
        </w:rPr>
        <w:t>Eskom has far more experience than the Municipality with connecting larger than one megawatt generators to the grid including grid code compliance.</w:t>
      </w:r>
    </w:p>
    <w:p w14:paraId="577E2292" w14:textId="77777777" w:rsidR="006A3F14" w:rsidRPr="00941098" w:rsidRDefault="006A3F14" w:rsidP="00541C65">
      <w:pPr>
        <w:pStyle w:val="ListParagraph"/>
        <w:numPr>
          <w:ilvl w:val="0"/>
          <w:numId w:val="4"/>
        </w:numPr>
        <w:pBdr>
          <w:top w:val="nil"/>
          <w:left w:val="nil"/>
          <w:bottom w:val="nil"/>
          <w:right w:val="nil"/>
          <w:between w:val="nil"/>
        </w:pBdr>
        <w:spacing w:beforeLines="60" w:before="144" w:afterLines="60" w:after="144" w:line="240" w:lineRule="auto"/>
        <w:contextualSpacing w:val="0"/>
        <w:rPr>
          <w:rFonts w:ascii="Century Gothic" w:hAnsi="Century Gothic"/>
        </w:rPr>
      </w:pPr>
      <w:r w:rsidRPr="00941098">
        <w:rPr>
          <w:rFonts w:ascii="Century Gothic" w:hAnsi="Century Gothic"/>
        </w:rPr>
        <w:t>Eskom already has a wheeling framework in place which passes the generator’s wheeling credits onto the municipal account.</w:t>
      </w:r>
    </w:p>
    <w:p w14:paraId="1D011F12" w14:textId="3B426FDF" w:rsidR="006A3F14" w:rsidRDefault="006A3F14" w:rsidP="009E17B0">
      <w:pPr>
        <w:spacing w:beforeLines="60" w:before="144" w:afterLines="60" w:after="144" w:line="240" w:lineRule="auto"/>
        <w:rPr>
          <w:rFonts w:ascii="Century Gothic" w:hAnsi="Century Gothic"/>
        </w:rPr>
      </w:pPr>
      <w:r w:rsidRPr="00941098">
        <w:rPr>
          <w:rFonts w:ascii="Century Gothic" w:hAnsi="Century Gothic"/>
        </w:rPr>
        <w:t>While the Municipality is doing what it can to facilitate wheeling from Eskom-connected generators, a major challenge that remains in the way of implementation is the Eskom security deposit</w:t>
      </w:r>
      <w:r w:rsidR="00BB0269">
        <w:rPr>
          <w:rFonts w:ascii="Century Gothic" w:hAnsi="Century Gothic"/>
        </w:rPr>
        <w:t xml:space="preserve"> required for </w:t>
      </w:r>
      <w:r w:rsidR="00E0258B">
        <w:rPr>
          <w:rFonts w:ascii="Century Gothic" w:hAnsi="Century Gothic"/>
        </w:rPr>
        <w:t>third party wheeling</w:t>
      </w:r>
      <w:r w:rsidRPr="00941098">
        <w:rPr>
          <w:rFonts w:ascii="Century Gothic" w:hAnsi="Century Gothic"/>
        </w:rPr>
        <w:t xml:space="preserve">. Funding the updated security deposits may prove difficult for the Municipality to fund, but work is being done by National Government to support municipalities fund these security deposits; nonetheless, these deposits remain a challenge to implementing wheeling from Eskom-connected generators. </w:t>
      </w:r>
      <w:r w:rsidR="00A22778">
        <w:rPr>
          <w:rFonts w:ascii="Century Gothic" w:hAnsi="Century Gothic"/>
        </w:rPr>
        <w:t xml:space="preserve">Municipalities have </w:t>
      </w:r>
      <w:r w:rsidRPr="00941098">
        <w:rPr>
          <w:rFonts w:ascii="Century Gothic" w:hAnsi="Century Gothic"/>
        </w:rPr>
        <w:t>also been made aware of Eskom’s work on a Virtual Wheeling Platform with the intention is that this model will overcome the security deposit issue.</w:t>
      </w:r>
    </w:p>
    <w:p w14:paraId="5F446178" w14:textId="77777777" w:rsidR="001B440D" w:rsidRPr="001B440D" w:rsidRDefault="001B440D" w:rsidP="009E17B0">
      <w:pPr>
        <w:spacing w:beforeLines="60" w:before="144" w:afterLines="60" w:after="144" w:line="240" w:lineRule="auto"/>
        <w:rPr>
          <w:rFonts w:ascii="Century Gothic" w:hAnsi="Century Gothic"/>
        </w:rPr>
      </w:pPr>
      <w:r w:rsidRPr="001B440D">
        <w:rPr>
          <w:rFonts w:ascii="Century Gothic" w:hAnsi="Century Gothic"/>
          <w:b/>
          <w:bCs/>
        </w:rPr>
        <w:t>Electricity Trading</w:t>
      </w:r>
    </w:p>
    <w:p w14:paraId="2A2C7C60" w14:textId="6818B3A8" w:rsidR="00133844" w:rsidRPr="005C61E8" w:rsidRDefault="00A22778" w:rsidP="009E17B0">
      <w:pPr>
        <w:spacing w:beforeLines="60" w:before="144" w:afterLines="60" w:after="144" w:line="240" w:lineRule="auto"/>
        <w:rPr>
          <w:rFonts w:ascii="Century Gothic" w:hAnsi="Century Gothic"/>
          <w:i/>
          <w:iCs/>
        </w:rPr>
      </w:pPr>
      <w:r>
        <w:rPr>
          <w:rFonts w:ascii="Century Gothic" w:hAnsi="Century Gothic"/>
        </w:rPr>
        <w:t xml:space="preserve">Electricity </w:t>
      </w:r>
      <w:r w:rsidR="00430780" w:rsidRPr="00430780">
        <w:rPr>
          <w:rFonts w:ascii="Century Gothic" w:hAnsi="Century Gothic"/>
        </w:rPr>
        <w:t>Trading is the delivery of electricity generated by multiple private operators in many locations to multiple buyers or off</w:t>
      </w:r>
      <w:r w:rsidR="005349A6">
        <w:rPr>
          <w:rFonts w:ascii="Century Gothic" w:hAnsi="Century Gothic"/>
        </w:rPr>
        <w:t>-</w:t>
      </w:r>
      <w:r w:rsidR="00430780" w:rsidRPr="00430780">
        <w:rPr>
          <w:rFonts w:ascii="Century Gothic" w:hAnsi="Century Gothic"/>
        </w:rPr>
        <w:t xml:space="preserve">takers in different locations, via a </w:t>
      </w:r>
      <w:r w:rsidR="003B1522" w:rsidRPr="00430780">
        <w:rPr>
          <w:rFonts w:ascii="Century Gothic" w:hAnsi="Century Gothic"/>
        </w:rPr>
        <w:t>third-party</w:t>
      </w:r>
      <w:r w:rsidR="00430780" w:rsidRPr="00430780">
        <w:rPr>
          <w:rFonts w:ascii="Century Gothic" w:hAnsi="Century Gothic"/>
        </w:rPr>
        <w:t xml:space="preserve"> network</w:t>
      </w:r>
      <w:r w:rsidR="001D1511">
        <w:rPr>
          <w:rFonts w:ascii="Century Gothic" w:hAnsi="Century Gothic"/>
        </w:rPr>
        <w:t>. It</w:t>
      </w:r>
      <w:r w:rsidR="00430780">
        <w:rPr>
          <w:rFonts w:ascii="Century Gothic" w:hAnsi="Century Gothic"/>
        </w:rPr>
        <w:t xml:space="preserve"> a</w:t>
      </w:r>
      <w:r w:rsidR="001B440D" w:rsidRPr="001B440D">
        <w:rPr>
          <w:rFonts w:ascii="Century Gothic" w:hAnsi="Century Gothic"/>
        </w:rPr>
        <w:t>llows for the aggregation of energy supply from various private generation projects, and the consolidation of different forms of renewable power available in the energy mix (allocation optimisation)</w:t>
      </w:r>
      <w:r w:rsidR="001B440D">
        <w:rPr>
          <w:rFonts w:ascii="Century Gothic" w:hAnsi="Century Gothic"/>
        </w:rPr>
        <w:t xml:space="preserve">. </w:t>
      </w:r>
      <w:r w:rsidR="001B440D" w:rsidRPr="001B440D">
        <w:rPr>
          <w:rFonts w:ascii="Century Gothic" w:hAnsi="Century Gothic"/>
        </w:rPr>
        <w:t>As South Africa moves into a future of competitive electricity supply, the landscape simultaneously becomes more complex as well as more efficient - where demand is met by dynamic trade. </w:t>
      </w:r>
      <w:r w:rsidR="001B440D" w:rsidRPr="001B440D">
        <w:rPr>
          <w:rFonts w:ascii="Century Gothic" w:hAnsi="Century Gothic"/>
          <w:i/>
          <w:iCs/>
        </w:rPr>
        <w:t xml:space="preserve">The Trader will play a critical role in addressing the energy crisis, determining the net impact of this market reform, </w:t>
      </w:r>
      <w:r w:rsidR="000C00E4">
        <w:rPr>
          <w:rFonts w:ascii="Century Gothic" w:hAnsi="Century Gothic"/>
          <w:i/>
          <w:iCs/>
        </w:rPr>
        <w:t xml:space="preserve">and </w:t>
      </w:r>
      <w:r w:rsidR="001B440D" w:rsidRPr="001B440D">
        <w:rPr>
          <w:rFonts w:ascii="Century Gothic" w:hAnsi="Century Gothic"/>
          <w:i/>
          <w:iCs/>
        </w:rPr>
        <w:t>driving transformational change over time.</w:t>
      </w:r>
    </w:p>
    <w:p w14:paraId="5BBF40E6" w14:textId="22A51FD2" w:rsidR="00967770" w:rsidRPr="00831A39" w:rsidRDefault="00967770" w:rsidP="009E17B0">
      <w:pPr>
        <w:spacing w:beforeLines="60" w:before="144" w:afterLines="60" w:after="144" w:line="240" w:lineRule="auto"/>
        <w:rPr>
          <w:rFonts w:ascii="Century Gothic" w:hAnsi="Century Gothic"/>
          <w:b/>
          <w:bCs/>
          <w:u w:val="single"/>
        </w:rPr>
      </w:pPr>
      <w:r w:rsidRPr="00831A39">
        <w:rPr>
          <w:rFonts w:ascii="Century Gothic" w:hAnsi="Century Gothic"/>
          <w:b/>
          <w:bCs/>
          <w:u w:val="single"/>
        </w:rPr>
        <w:t>Scenario 1</w:t>
      </w:r>
      <w:r w:rsidR="00A06669">
        <w:rPr>
          <w:rFonts w:ascii="Century Gothic" w:hAnsi="Century Gothic"/>
          <w:b/>
          <w:bCs/>
          <w:u w:val="single"/>
        </w:rPr>
        <w:t>b</w:t>
      </w:r>
      <w:r w:rsidRPr="00831A39">
        <w:rPr>
          <w:rFonts w:ascii="Century Gothic" w:hAnsi="Century Gothic"/>
          <w:b/>
          <w:bCs/>
          <w:u w:val="single"/>
        </w:rPr>
        <w:t xml:space="preserve"> with an </w:t>
      </w:r>
      <w:r w:rsidR="0032404D" w:rsidRPr="00831A39">
        <w:rPr>
          <w:rFonts w:ascii="Century Gothic" w:hAnsi="Century Gothic"/>
          <w:b/>
          <w:bCs/>
          <w:u w:val="single"/>
        </w:rPr>
        <w:t>Energy Trader is depicted below</w:t>
      </w:r>
      <w:r w:rsidR="000C00E4" w:rsidRPr="00831A39">
        <w:rPr>
          <w:rFonts w:ascii="Century Gothic" w:hAnsi="Century Gothic"/>
          <w:b/>
          <w:bCs/>
          <w:u w:val="single"/>
        </w:rPr>
        <w:t>:</w:t>
      </w:r>
    </w:p>
    <w:p w14:paraId="00F190DF" w14:textId="2D85B24D" w:rsidR="00967770" w:rsidRDefault="00C32F88" w:rsidP="009E17B0">
      <w:pPr>
        <w:spacing w:beforeLines="60" w:before="144" w:afterLines="60" w:after="144" w:line="240" w:lineRule="auto"/>
        <w:rPr>
          <w:rFonts w:ascii="Century Gothic" w:hAnsi="Century Gothic"/>
        </w:rPr>
      </w:pPr>
      <w:r w:rsidRPr="000F4810">
        <w:rPr>
          <w:noProof/>
        </w:rPr>
        <w:lastRenderedPageBreak/>
        <w:drawing>
          <wp:inline distT="0" distB="0" distL="0" distR="0" wp14:anchorId="7D15FC46" wp14:editId="688CB4F5">
            <wp:extent cx="5696803" cy="2720975"/>
            <wp:effectExtent l="76200" t="76200" r="132715" b="136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23804" cy="27338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F11BBD2" w14:textId="33C2841F" w:rsidR="006A3F14" w:rsidRPr="00985890" w:rsidRDefault="006A3F14" w:rsidP="009E17B0">
      <w:pPr>
        <w:spacing w:beforeLines="60" w:before="144" w:afterLines="60" w:after="144" w:line="240" w:lineRule="auto"/>
        <w:rPr>
          <w:rFonts w:ascii="Century Gothic" w:hAnsi="Century Gothic"/>
          <w:b/>
          <w:bCs/>
          <w:u w:val="single"/>
        </w:rPr>
      </w:pPr>
      <w:bookmarkStart w:id="32" w:name="_Toc134598048"/>
      <w:r w:rsidRPr="00985890">
        <w:rPr>
          <w:rFonts w:ascii="Century Gothic" w:hAnsi="Century Gothic"/>
          <w:b/>
          <w:bCs/>
          <w:u w:val="single"/>
        </w:rPr>
        <w:t>Scenario 2</w:t>
      </w:r>
      <w:r w:rsidR="00A06669">
        <w:rPr>
          <w:rFonts w:ascii="Century Gothic" w:hAnsi="Century Gothic"/>
          <w:b/>
          <w:bCs/>
          <w:u w:val="single"/>
        </w:rPr>
        <w:t>a</w:t>
      </w:r>
      <w:r w:rsidRPr="00985890">
        <w:rPr>
          <w:rFonts w:ascii="Century Gothic" w:hAnsi="Century Gothic"/>
          <w:b/>
          <w:bCs/>
          <w:u w:val="single"/>
        </w:rPr>
        <w:t xml:space="preserve">: Municipal-connected generator wheeling to a Municipal </w:t>
      </w:r>
      <w:r>
        <w:rPr>
          <w:rFonts w:ascii="Century Gothic" w:hAnsi="Century Gothic"/>
          <w:b/>
          <w:bCs/>
          <w:u w:val="single"/>
        </w:rPr>
        <w:t>off-taker</w:t>
      </w:r>
      <w:r w:rsidRPr="00985890">
        <w:rPr>
          <w:rFonts w:ascii="Century Gothic" w:hAnsi="Century Gothic"/>
          <w:b/>
          <w:bCs/>
          <w:u w:val="single"/>
        </w:rPr>
        <w:t>.</w:t>
      </w:r>
      <w:bookmarkEnd w:id="32"/>
    </w:p>
    <w:p w14:paraId="05EA65ED" w14:textId="323C34DB" w:rsidR="00E91C4B" w:rsidRDefault="00E91C4B" w:rsidP="009E17B0">
      <w:pPr>
        <w:spacing w:beforeLines="60" w:before="144" w:afterLines="60" w:after="144" w:line="240" w:lineRule="auto"/>
        <w:rPr>
          <w:rFonts w:ascii="Century Gothic" w:hAnsi="Century Gothic"/>
        </w:rPr>
      </w:pPr>
      <w:r w:rsidRPr="00E91C4B">
        <w:rPr>
          <w:noProof/>
        </w:rPr>
        <w:drawing>
          <wp:inline distT="0" distB="0" distL="0" distR="0" wp14:anchorId="4AC48CA0" wp14:editId="1E4B5A93">
            <wp:extent cx="5646683" cy="2980055"/>
            <wp:effectExtent l="76200" t="76200" r="125730" b="12509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689677" cy="30027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65F4FA9" w14:textId="45684B58" w:rsidR="006A3F14" w:rsidRPr="00E55368" w:rsidRDefault="006A3F14" w:rsidP="009E17B0">
      <w:pPr>
        <w:spacing w:beforeLines="60" w:before="144" w:afterLines="60" w:after="144" w:line="240" w:lineRule="auto"/>
        <w:rPr>
          <w:rFonts w:ascii="Century Gothic" w:hAnsi="Century Gothic"/>
        </w:rPr>
      </w:pPr>
      <w:r w:rsidRPr="00E55368">
        <w:rPr>
          <w:rFonts w:ascii="Century Gothic" w:hAnsi="Century Gothic"/>
        </w:rPr>
        <w:t xml:space="preserve">In this wheeling scenario, the Generator is located within the municipality's network, and the </w:t>
      </w:r>
      <w:r w:rsidR="00941098">
        <w:rPr>
          <w:rFonts w:ascii="Century Gothic" w:hAnsi="Century Gothic"/>
        </w:rPr>
        <w:t>off</w:t>
      </w:r>
      <w:r w:rsidR="00D424E4">
        <w:rPr>
          <w:rFonts w:ascii="Century Gothic" w:hAnsi="Century Gothic"/>
        </w:rPr>
        <w:t>-</w:t>
      </w:r>
      <w:r w:rsidR="00941098">
        <w:rPr>
          <w:rFonts w:ascii="Century Gothic" w:hAnsi="Century Gothic"/>
        </w:rPr>
        <w:t>taker</w:t>
      </w:r>
      <w:r w:rsidRPr="00E55368">
        <w:rPr>
          <w:rFonts w:ascii="Century Gothic" w:hAnsi="Century Gothic"/>
        </w:rPr>
        <w:t xml:space="preserve"> is also situated within the municipality's network. This scenario requires the Municipality to process the Generator’s connection application as it will be connected to the Municipality’s grid.</w:t>
      </w:r>
    </w:p>
    <w:p w14:paraId="41800792" w14:textId="77777777" w:rsidR="006A3F14" w:rsidRPr="00E55368" w:rsidRDefault="006A3F14" w:rsidP="009E17B0">
      <w:pPr>
        <w:pBdr>
          <w:top w:val="nil"/>
          <w:left w:val="nil"/>
          <w:bottom w:val="nil"/>
          <w:right w:val="nil"/>
          <w:between w:val="nil"/>
        </w:pBdr>
        <w:spacing w:beforeLines="60" w:before="144" w:afterLines="60" w:after="144" w:line="240" w:lineRule="auto"/>
        <w:rPr>
          <w:rFonts w:ascii="Century Gothic" w:hAnsi="Century Gothic"/>
          <w:color w:val="000000"/>
        </w:rPr>
      </w:pPr>
      <w:r w:rsidRPr="00E55368">
        <w:rPr>
          <w:rFonts w:ascii="Century Gothic" w:hAnsi="Century Gothic"/>
          <w:color w:val="000000"/>
        </w:rPr>
        <w:t>The following agreements will need to be put in place in this scenario:</w:t>
      </w:r>
    </w:p>
    <w:p w14:paraId="67AF4B92" w14:textId="448C5B1F" w:rsidR="006A3F14" w:rsidRPr="00E55368" w:rsidRDefault="006A3F14" w:rsidP="00541C65">
      <w:pPr>
        <w:pStyle w:val="ListParagraph"/>
        <w:numPr>
          <w:ilvl w:val="0"/>
          <w:numId w:val="4"/>
        </w:numPr>
        <w:pBdr>
          <w:top w:val="nil"/>
          <w:left w:val="nil"/>
          <w:bottom w:val="nil"/>
          <w:right w:val="nil"/>
          <w:between w:val="nil"/>
        </w:pBdr>
        <w:spacing w:beforeLines="60" w:before="144" w:afterLines="60" w:after="144" w:line="240" w:lineRule="auto"/>
        <w:contextualSpacing w:val="0"/>
        <w:rPr>
          <w:rFonts w:ascii="Century Gothic" w:hAnsi="Century Gothic"/>
        </w:rPr>
      </w:pPr>
      <w:r w:rsidRPr="009172FA">
        <w:rPr>
          <w:rFonts w:ascii="Century Gothic" w:hAnsi="Century Gothic"/>
        </w:rPr>
        <w:t>The Generator has a Connection and Use</w:t>
      </w:r>
      <w:r w:rsidR="008B7C50">
        <w:rPr>
          <w:rFonts w:ascii="Century Gothic" w:hAnsi="Century Gothic"/>
        </w:rPr>
        <w:t>-</w:t>
      </w:r>
      <w:r w:rsidRPr="009172FA">
        <w:rPr>
          <w:rFonts w:ascii="Century Gothic" w:hAnsi="Century Gothic"/>
        </w:rPr>
        <w:t>of</w:t>
      </w:r>
      <w:r w:rsidR="008B7C50">
        <w:rPr>
          <w:rFonts w:ascii="Century Gothic" w:hAnsi="Century Gothic"/>
        </w:rPr>
        <w:t>-</w:t>
      </w:r>
      <w:r w:rsidRPr="009172FA">
        <w:rPr>
          <w:rFonts w:ascii="Century Gothic" w:hAnsi="Century Gothic"/>
        </w:rPr>
        <w:t>System agreement with the municipality.</w:t>
      </w:r>
    </w:p>
    <w:p w14:paraId="4AF31095" w14:textId="515C0515" w:rsidR="006A3F14" w:rsidRPr="00E55368" w:rsidRDefault="006A3F14" w:rsidP="00541C65">
      <w:pPr>
        <w:pStyle w:val="ListParagraph"/>
        <w:numPr>
          <w:ilvl w:val="0"/>
          <w:numId w:val="4"/>
        </w:numPr>
        <w:pBdr>
          <w:top w:val="nil"/>
          <w:left w:val="nil"/>
          <w:bottom w:val="nil"/>
          <w:right w:val="nil"/>
          <w:between w:val="nil"/>
        </w:pBdr>
        <w:spacing w:beforeLines="60" w:before="144" w:afterLines="60" w:after="144" w:line="240" w:lineRule="auto"/>
        <w:contextualSpacing w:val="0"/>
        <w:rPr>
          <w:rFonts w:ascii="Century Gothic" w:hAnsi="Century Gothic"/>
        </w:rPr>
      </w:pPr>
      <w:r w:rsidRPr="009172FA">
        <w:rPr>
          <w:rFonts w:ascii="Century Gothic" w:hAnsi="Century Gothic"/>
        </w:rPr>
        <w:t xml:space="preserve">The </w:t>
      </w:r>
      <w:r w:rsidR="00941098" w:rsidRPr="009172FA">
        <w:rPr>
          <w:rFonts w:ascii="Century Gothic" w:hAnsi="Century Gothic"/>
        </w:rPr>
        <w:t>Off</w:t>
      </w:r>
      <w:r w:rsidR="008B7C50">
        <w:rPr>
          <w:rFonts w:ascii="Century Gothic" w:hAnsi="Century Gothic"/>
        </w:rPr>
        <w:t>-</w:t>
      </w:r>
      <w:r w:rsidR="00941098" w:rsidRPr="009172FA">
        <w:rPr>
          <w:rFonts w:ascii="Century Gothic" w:hAnsi="Century Gothic"/>
        </w:rPr>
        <w:t>taker</w:t>
      </w:r>
      <w:r w:rsidRPr="009172FA">
        <w:rPr>
          <w:rFonts w:ascii="Century Gothic" w:hAnsi="Century Gothic"/>
        </w:rPr>
        <w:t xml:space="preserve"> signs an </w:t>
      </w:r>
      <w:r w:rsidR="008B7C50">
        <w:rPr>
          <w:rFonts w:ascii="Century Gothic" w:hAnsi="Century Gothic"/>
        </w:rPr>
        <w:t>a</w:t>
      </w:r>
      <w:r w:rsidRPr="009172FA">
        <w:rPr>
          <w:rFonts w:ascii="Century Gothic" w:hAnsi="Century Gothic"/>
        </w:rPr>
        <w:t>mended</w:t>
      </w:r>
      <w:r w:rsidR="00312E5F">
        <w:rPr>
          <w:rFonts w:ascii="Century Gothic" w:hAnsi="Century Gothic"/>
        </w:rPr>
        <w:t>/</w:t>
      </w:r>
      <w:r w:rsidR="000C66FE">
        <w:rPr>
          <w:rFonts w:ascii="Century Gothic" w:hAnsi="Century Gothic"/>
        </w:rPr>
        <w:t>addendum</w:t>
      </w:r>
      <w:r w:rsidRPr="009172FA">
        <w:rPr>
          <w:rFonts w:ascii="Century Gothic" w:hAnsi="Century Gothic"/>
        </w:rPr>
        <w:t xml:space="preserve"> electricity supply agreement with the Municipality.</w:t>
      </w:r>
    </w:p>
    <w:p w14:paraId="69CFF739" w14:textId="56C26E65" w:rsidR="006A3F14" w:rsidRPr="00E55368" w:rsidRDefault="006A3F14" w:rsidP="00541C65">
      <w:pPr>
        <w:pStyle w:val="ListParagraph"/>
        <w:numPr>
          <w:ilvl w:val="0"/>
          <w:numId w:val="4"/>
        </w:numPr>
        <w:pBdr>
          <w:top w:val="nil"/>
          <w:left w:val="nil"/>
          <w:bottom w:val="nil"/>
          <w:right w:val="nil"/>
          <w:between w:val="nil"/>
        </w:pBdr>
        <w:spacing w:beforeLines="60" w:before="144" w:afterLines="60" w:after="144" w:line="240" w:lineRule="auto"/>
        <w:contextualSpacing w:val="0"/>
        <w:rPr>
          <w:rFonts w:ascii="Century Gothic" w:hAnsi="Century Gothic"/>
        </w:rPr>
      </w:pPr>
      <w:r w:rsidRPr="00E55368">
        <w:rPr>
          <w:rFonts w:ascii="Century Gothic" w:hAnsi="Century Gothic"/>
        </w:rPr>
        <w:t xml:space="preserve">A PPA between the Generator or Trader and the </w:t>
      </w:r>
      <w:r w:rsidR="00941098">
        <w:rPr>
          <w:rFonts w:ascii="Century Gothic" w:hAnsi="Century Gothic"/>
        </w:rPr>
        <w:t>Off</w:t>
      </w:r>
      <w:r w:rsidR="008B7C50">
        <w:rPr>
          <w:rFonts w:ascii="Century Gothic" w:hAnsi="Century Gothic"/>
        </w:rPr>
        <w:t>-</w:t>
      </w:r>
      <w:r w:rsidR="00941098">
        <w:rPr>
          <w:rFonts w:ascii="Century Gothic" w:hAnsi="Century Gothic"/>
        </w:rPr>
        <w:t>taker</w:t>
      </w:r>
      <w:r w:rsidRPr="00E55368">
        <w:rPr>
          <w:rFonts w:ascii="Century Gothic" w:hAnsi="Century Gothic"/>
        </w:rPr>
        <w:t>.</w:t>
      </w:r>
    </w:p>
    <w:p w14:paraId="58C5B6F5" w14:textId="77777777" w:rsidR="006A3F14" w:rsidRPr="00E55368" w:rsidRDefault="006A3F14" w:rsidP="009E17B0">
      <w:pPr>
        <w:spacing w:beforeLines="60" w:before="144" w:afterLines="60" w:after="144" w:line="240" w:lineRule="auto"/>
        <w:rPr>
          <w:rFonts w:ascii="Century Gothic" w:hAnsi="Century Gothic"/>
        </w:rPr>
      </w:pPr>
      <w:r w:rsidRPr="00E55368">
        <w:rPr>
          <w:rFonts w:ascii="Century Gothic" w:hAnsi="Century Gothic"/>
        </w:rPr>
        <w:t>There are a range of benefits to wheeling from a local generator connected to the Municipal network. These include:</w:t>
      </w:r>
    </w:p>
    <w:p w14:paraId="3408AE05" w14:textId="643F9E4E" w:rsidR="006A3F14" w:rsidRPr="00E55368" w:rsidRDefault="006A3F14" w:rsidP="00541C65">
      <w:pPr>
        <w:pStyle w:val="ListParagraph"/>
        <w:numPr>
          <w:ilvl w:val="0"/>
          <w:numId w:val="4"/>
        </w:numPr>
        <w:pBdr>
          <w:top w:val="nil"/>
          <w:left w:val="nil"/>
          <w:bottom w:val="nil"/>
          <w:right w:val="nil"/>
          <w:between w:val="nil"/>
        </w:pBdr>
        <w:spacing w:beforeLines="60" w:before="144" w:afterLines="60" w:after="144" w:line="240" w:lineRule="auto"/>
        <w:contextualSpacing w:val="0"/>
        <w:rPr>
          <w:rFonts w:ascii="Century Gothic" w:hAnsi="Century Gothic"/>
        </w:rPr>
      </w:pPr>
      <w:r w:rsidRPr="00E55368">
        <w:rPr>
          <w:rFonts w:ascii="Century Gothic" w:hAnsi="Century Gothic"/>
        </w:rPr>
        <w:lastRenderedPageBreak/>
        <w:t>Reduced wheeling transaction costs as the generator avoids paying Eskom Use</w:t>
      </w:r>
      <w:r w:rsidR="006D1E60">
        <w:rPr>
          <w:rFonts w:ascii="Century Gothic" w:hAnsi="Century Gothic"/>
        </w:rPr>
        <w:t>-</w:t>
      </w:r>
      <w:r w:rsidRPr="00E55368">
        <w:rPr>
          <w:rFonts w:ascii="Century Gothic" w:hAnsi="Century Gothic"/>
        </w:rPr>
        <w:t>of</w:t>
      </w:r>
      <w:r w:rsidR="006D1E60">
        <w:rPr>
          <w:rFonts w:ascii="Century Gothic" w:hAnsi="Century Gothic"/>
        </w:rPr>
        <w:t>-</w:t>
      </w:r>
      <w:r w:rsidRPr="00E55368">
        <w:rPr>
          <w:rFonts w:ascii="Century Gothic" w:hAnsi="Century Gothic"/>
        </w:rPr>
        <w:t>System (U</w:t>
      </w:r>
      <w:r w:rsidR="006D1E60">
        <w:rPr>
          <w:rFonts w:ascii="Century Gothic" w:hAnsi="Century Gothic"/>
        </w:rPr>
        <w:t>o</w:t>
      </w:r>
      <w:r w:rsidRPr="00E55368">
        <w:rPr>
          <w:rFonts w:ascii="Century Gothic" w:hAnsi="Century Gothic"/>
        </w:rPr>
        <w:t>S) charges.</w:t>
      </w:r>
    </w:p>
    <w:p w14:paraId="4C08C790" w14:textId="77777777" w:rsidR="006A3F14" w:rsidRPr="00E55368" w:rsidRDefault="006A3F14" w:rsidP="00541C65">
      <w:pPr>
        <w:pStyle w:val="ListParagraph"/>
        <w:numPr>
          <w:ilvl w:val="0"/>
          <w:numId w:val="4"/>
        </w:numPr>
        <w:pBdr>
          <w:top w:val="nil"/>
          <w:left w:val="nil"/>
          <w:bottom w:val="nil"/>
          <w:right w:val="nil"/>
          <w:between w:val="nil"/>
        </w:pBdr>
        <w:spacing w:beforeLines="60" w:before="144" w:afterLines="60" w:after="144" w:line="240" w:lineRule="auto"/>
        <w:contextualSpacing w:val="0"/>
        <w:rPr>
          <w:rFonts w:ascii="Century Gothic" w:hAnsi="Century Gothic"/>
        </w:rPr>
      </w:pPr>
      <w:r w:rsidRPr="00E55368">
        <w:rPr>
          <w:rFonts w:ascii="Century Gothic" w:hAnsi="Century Gothic"/>
        </w:rPr>
        <w:t>Reduced electrical losses as the electricity does not flow across the transmission grid.</w:t>
      </w:r>
    </w:p>
    <w:p w14:paraId="07DCBFAD" w14:textId="77777777" w:rsidR="006A3F14" w:rsidRPr="00E55368" w:rsidRDefault="006A3F14" w:rsidP="00541C65">
      <w:pPr>
        <w:pStyle w:val="ListParagraph"/>
        <w:numPr>
          <w:ilvl w:val="0"/>
          <w:numId w:val="4"/>
        </w:numPr>
        <w:pBdr>
          <w:top w:val="nil"/>
          <w:left w:val="nil"/>
          <w:bottom w:val="nil"/>
          <w:right w:val="nil"/>
          <w:between w:val="nil"/>
        </w:pBdr>
        <w:spacing w:beforeLines="60" w:before="144" w:afterLines="60" w:after="144" w:line="240" w:lineRule="auto"/>
        <w:contextualSpacing w:val="0"/>
        <w:rPr>
          <w:rFonts w:ascii="Century Gothic" w:hAnsi="Century Gothic"/>
        </w:rPr>
      </w:pPr>
      <w:r w:rsidRPr="00E55368">
        <w:rPr>
          <w:rFonts w:ascii="Century Gothic" w:hAnsi="Century Gothic"/>
        </w:rPr>
        <w:t>Building power plants in the Municipality stimulates the economy and creates jobs.</w:t>
      </w:r>
    </w:p>
    <w:p w14:paraId="3AB1F397" w14:textId="77777777" w:rsidR="006A3F14" w:rsidRPr="00E55368" w:rsidRDefault="006A3F14" w:rsidP="00541C65">
      <w:pPr>
        <w:pStyle w:val="ListParagraph"/>
        <w:numPr>
          <w:ilvl w:val="0"/>
          <w:numId w:val="4"/>
        </w:numPr>
        <w:pBdr>
          <w:top w:val="nil"/>
          <w:left w:val="nil"/>
          <w:bottom w:val="nil"/>
          <w:right w:val="nil"/>
          <w:between w:val="nil"/>
        </w:pBdr>
        <w:spacing w:beforeLines="60" w:before="144" w:afterLines="60" w:after="144" w:line="240" w:lineRule="auto"/>
        <w:contextualSpacing w:val="0"/>
        <w:rPr>
          <w:rFonts w:ascii="Century Gothic" w:hAnsi="Century Gothic"/>
        </w:rPr>
      </w:pPr>
      <w:r w:rsidRPr="00E55368">
        <w:rPr>
          <w:rFonts w:ascii="Century Gothic" w:hAnsi="Century Gothic"/>
        </w:rPr>
        <w:t>Local generation reduces the Municipality’s reliance on Eskom.</w:t>
      </w:r>
    </w:p>
    <w:p w14:paraId="57DAB3FB" w14:textId="77A8FE7C" w:rsidR="006A3F14" w:rsidRDefault="006A3F14" w:rsidP="009E17B0">
      <w:pPr>
        <w:spacing w:beforeLines="60" w:before="144" w:afterLines="60" w:after="144" w:line="240" w:lineRule="auto"/>
        <w:rPr>
          <w:rFonts w:ascii="Century Gothic" w:hAnsi="Century Gothic"/>
        </w:rPr>
      </w:pPr>
      <w:r w:rsidRPr="00E55368">
        <w:rPr>
          <w:rFonts w:ascii="Century Gothic" w:hAnsi="Century Gothic"/>
        </w:rPr>
        <w:t xml:space="preserve">The Municipality is working to facilitate this wheeling scenario. However, connecting large generators to the distribution grid remains challenging for the Municipality. The Municipality’s billing system also requires updating to facilitate the reconciliation of wheeled energy between the Generator and the </w:t>
      </w:r>
      <w:r w:rsidR="00D97711">
        <w:rPr>
          <w:rFonts w:ascii="Century Gothic" w:hAnsi="Century Gothic"/>
        </w:rPr>
        <w:t>Off</w:t>
      </w:r>
      <w:r w:rsidR="009C7C5C">
        <w:rPr>
          <w:rFonts w:ascii="Century Gothic" w:hAnsi="Century Gothic"/>
        </w:rPr>
        <w:t>-</w:t>
      </w:r>
      <w:r w:rsidR="00D97711">
        <w:rPr>
          <w:rFonts w:ascii="Century Gothic" w:hAnsi="Century Gothic"/>
        </w:rPr>
        <w:t>taker</w:t>
      </w:r>
      <w:r w:rsidRPr="00E55368">
        <w:rPr>
          <w:rFonts w:ascii="Century Gothic" w:hAnsi="Century Gothic"/>
        </w:rPr>
        <w:t>.</w:t>
      </w:r>
      <w:r w:rsidR="00CB1204">
        <w:rPr>
          <w:rFonts w:ascii="Century Gothic" w:hAnsi="Century Gothic"/>
        </w:rPr>
        <w:t xml:space="preserve"> </w:t>
      </w:r>
    </w:p>
    <w:p w14:paraId="61F51C14" w14:textId="48536204" w:rsidR="00260A66" w:rsidRDefault="00EB7144" w:rsidP="009E17B0">
      <w:pPr>
        <w:spacing w:beforeLines="60" w:before="144" w:afterLines="60" w:after="144" w:line="240" w:lineRule="auto"/>
        <w:rPr>
          <w:rFonts w:ascii="Century Gothic" w:hAnsi="Century Gothic"/>
        </w:rPr>
      </w:pPr>
      <w:r w:rsidRPr="00831A39">
        <w:rPr>
          <w:rFonts w:ascii="Century Gothic" w:hAnsi="Century Gothic"/>
          <w:b/>
          <w:bCs/>
          <w:u w:val="single"/>
        </w:rPr>
        <w:t>Scenario 2</w:t>
      </w:r>
      <w:r w:rsidR="00A06669">
        <w:rPr>
          <w:rFonts w:ascii="Century Gothic" w:hAnsi="Century Gothic"/>
          <w:b/>
          <w:bCs/>
          <w:u w:val="single"/>
        </w:rPr>
        <w:t>b</w:t>
      </w:r>
      <w:r w:rsidRPr="00831A39">
        <w:rPr>
          <w:rFonts w:ascii="Century Gothic" w:hAnsi="Century Gothic"/>
          <w:b/>
          <w:bCs/>
          <w:u w:val="single"/>
        </w:rPr>
        <w:t xml:space="preserve"> with an Energy Trader is depicted below</w:t>
      </w:r>
    </w:p>
    <w:p w14:paraId="13A59B8F" w14:textId="5C3B826C" w:rsidR="008E0FD8" w:rsidRDefault="008E0FD8" w:rsidP="009E17B0">
      <w:pPr>
        <w:spacing w:beforeLines="60" w:before="144" w:afterLines="60" w:after="144" w:line="240" w:lineRule="auto"/>
        <w:rPr>
          <w:rFonts w:ascii="Century Gothic" w:hAnsi="Century Gothic"/>
        </w:rPr>
      </w:pPr>
      <w:r w:rsidRPr="008E0FD8">
        <w:rPr>
          <w:noProof/>
        </w:rPr>
        <w:drawing>
          <wp:inline distT="0" distB="0" distL="0" distR="0" wp14:anchorId="7207446B" wp14:editId="549DDA6F">
            <wp:extent cx="5836920" cy="2819400"/>
            <wp:effectExtent l="76200" t="76200" r="125730" b="133350"/>
            <wp:docPr id="157159798" name="Picture 157159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836920" cy="2819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FFF5434" w14:textId="3DD21BF4" w:rsidR="00D97711" w:rsidRPr="00D97711" w:rsidRDefault="00D97711" w:rsidP="009E17B0">
      <w:pPr>
        <w:spacing w:beforeLines="60" w:before="144" w:afterLines="60" w:after="144" w:line="240" w:lineRule="auto"/>
        <w:rPr>
          <w:rFonts w:ascii="Century Gothic" w:hAnsi="Century Gothic"/>
          <w:b/>
          <w:bCs/>
          <w:u w:val="single"/>
        </w:rPr>
      </w:pPr>
      <w:r w:rsidRPr="00D97711">
        <w:rPr>
          <w:rFonts w:ascii="Century Gothic" w:hAnsi="Century Gothic"/>
          <w:b/>
          <w:bCs/>
          <w:u w:val="single"/>
        </w:rPr>
        <w:t>Scenario 3: Municipal-connected generator wheeling to Eskom-connected off-taker</w:t>
      </w:r>
    </w:p>
    <w:p w14:paraId="6B9D80B6" w14:textId="2F26CB14" w:rsidR="00D97711" w:rsidRDefault="00D97711" w:rsidP="009E17B0">
      <w:pPr>
        <w:spacing w:beforeLines="60" w:before="144" w:afterLines="60" w:after="144" w:line="240" w:lineRule="auto"/>
        <w:rPr>
          <w:rFonts w:ascii="Century Gothic" w:hAnsi="Century Gothic"/>
        </w:rPr>
      </w:pPr>
    </w:p>
    <w:p w14:paraId="6CD4EFCD" w14:textId="456892DC" w:rsidR="008E0FD8" w:rsidRPr="008E0FD8" w:rsidRDefault="008E0FD8" w:rsidP="009E17B0">
      <w:pPr>
        <w:spacing w:beforeLines="60" w:before="144" w:afterLines="60" w:after="144" w:line="240" w:lineRule="auto"/>
        <w:rPr>
          <w:rFonts w:ascii="Century Gothic" w:hAnsi="Century Gothic"/>
        </w:rPr>
      </w:pPr>
      <w:r w:rsidRPr="008E0FD8">
        <w:rPr>
          <w:noProof/>
        </w:rPr>
        <w:drawing>
          <wp:inline distT="0" distB="0" distL="0" distR="0" wp14:anchorId="57D6D252" wp14:editId="7D85FF08">
            <wp:extent cx="5836920" cy="2457450"/>
            <wp:effectExtent l="76200" t="76200" r="125730" b="133350"/>
            <wp:docPr id="157159799" name="Picture 157159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836920" cy="2457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C1E9D07" w14:textId="7E4997CD" w:rsidR="002910D5" w:rsidRPr="002910D5" w:rsidRDefault="002910D5" w:rsidP="009E17B0">
      <w:pPr>
        <w:spacing w:beforeLines="60" w:before="144" w:afterLines="60" w:after="144" w:line="240" w:lineRule="auto"/>
        <w:rPr>
          <w:rFonts w:ascii="Century Gothic" w:hAnsi="Century Gothic"/>
        </w:rPr>
      </w:pPr>
      <w:r w:rsidRPr="002910D5">
        <w:rPr>
          <w:rFonts w:ascii="Century Gothic" w:hAnsi="Century Gothic"/>
        </w:rPr>
        <w:t>In this wheeling scenario, the generator is connected to the municipality's grid, and the off</w:t>
      </w:r>
      <w:r w:rsidR="008E0FD8">
        <w:rPr>
          <w:rFonts w:ascii="Century Gothic" w:hAnsi="Century Gothic"/>
        </w:rPr>
        <w:t>-</w:t>
      </w:r>
      <w:r w:rsidRPr="002910D5">
        <w:rPr>
          <w:rFonts w:ascii="Century Gothic" w:hAnsi="Century Gothic"/>
        </w:rPr>
        <w:t>taker is connected to Eskom's grid. The energy generated by the municipal-connected generator is wheeled to the off-taker who is supplied by Eskom.</w:t>
      </w:r>
    </w:p>
    <w:p w14:paraId="39B27FAC" w14:textId="3F9771E9" w:rsidR="002910D5" w:rsidRPr="002910D5" w:rsidRDefault="002910D5" w:rsidP="009E17B0">
      <w:pPr>
        <w:spacing w:beforeLines="60" w:before="144" w:afterLines="60" w:after="144" w:line="240" w:lineRule="auto"/>
        <w:rPr>
          <w:rFonts w:ascii="Century Gothic" w:hAnsi="Century Gothic"/>
        </w:rPr>
      </w:pPr>
      <w:r w:rsidRPr="002910D5">
        <w:rPr>
          <w:rFonts w:ascii="Century Gothic" w:hAnsi="Century Gothic"/>
        </w:rPr>
        <w:lastRenderedPageBreak/>
        <w:t>To facilitate this wheeling arrangement, the following steps and agreements may be involved:</w:t>
      </w:r>
    </w:p>
    <w:p w14:paraId="0793D24E" w14:textId="39E76E0A" w:rsidR="002910D5" w:rsidRPr="00081623" w:rsidRDefault="002910D5" w:rsidP="00871EE8">
      <w:pPr>
        <w:pStyle w:val="ListParagraph"/>
        <w:numPr>
          <w:ilvl w:val="0"/>
          <w:numId w:val="8"/>
        </w:numPr>
        <w:spacing w:beforeLines="60" w:before="144" w:afterLines="60" w:after="144" w:line="240" w:lineRule="auto"/>
        <w:contextualSpacing w:val="0"/>
        <w:rPr>
          <w:rFonts w:ascii="Century Gothic" w:hAnsi="Century Gothic"/>
        </w:rPr>
      </w:pPr>
      <w:r w:rsidRPr="002910D5">
        <w:rPr>
          <w:rFonts w:ascii="Century Gothic" w:hAnsi="Century Gothic"/>
        </w:rPr>
        <w:t>Agreement between the Municipality and Eskom: The Municipality and Eskom need to establish a wheeling agreement that outlines the terms and conditions of the energy transfer from the municipal-connected generator to the Eskom-connected off-taker.</w:t>
      </w:r>
    </w:p>
    <w:p w14:paraId="55B12C46" w14:textId="1CF441AA" w:rsidR="002910D5" w:rsidRPr="002910D5" w:rsidRDefault="002910D5" w:rsidP="00871EE8">
      <w:pPr>
        <w:pStyle w:val="ListParagraph"/>
        <w:numPr>
          <w:ilvl w:val="0"/>
          <w:numId w:val="8"/>
        </w:numPr>
        <w:spacing w:beforeLines="60" w:before="144" w:afterLines="60" w:after="144" w:line="240" w:lineRule="auto"/>
        <w:contextualSpacing w:val="0"/>
        <w:rPr>
          <w:rFonts w:ascii="Century Gothic" w:hAnsi="Century Gothic"/>
        </w:rPr>
      </w:pPr>
      <w:r w:rsidRPr="002910D5">
        <w:rPr>
          <w:rFonts w:ascii="Century Gothic" w:hAnsi="Century Gothic"/>
        </w:rPr>
        <w:t>Use</w:t>
      </w:r>
      <w:r w:rsidR="008E0FD8">
        <w:rPr>
          <w:rFonts w:ascii="Century Gothic" w:hAnsi="Century Gothic"/>
        </w:rPr>
        <w:t>-</w:t>
      </w:r>
      <w:r w:rsidRPr="002910D5">
        <w:rPr>
          <w:rFonts w:ascii="Century Gothic" w:hAnsi="Century Gothic"/>
        </w:rPr>
        <w:t>of</w:t>
      </w:r>
      <w:r w:rsidR="008E0FD8">
        <w:rPr>
          <w:rFonts w:ascii="Century Gothic" w:hAnsi="Century Gothic"/>
        </w:rPr>
        <w:t>-</w:t>
      </w:r>
      <w:r w:rsidRPr="002910D5">
        <w:rPr>
          <w:rFonts w:ascii="Century Gothic" w:hAnsi="Century Gothic"/>
        </w:rPr>
        <w:t>System Agreement (</w:t>
      </w:r>
      <w:proofErr w:type="spellStart"/>
      <w:r w:rsidRPr="002910D5">
        <w:rPr>
          <w:rFonts w:ascii="Century Gothic" w:hAnsi="Century Gothic"/>
        </w:rPr>
        <w:t>UoSA</w:t>
      </w:r>
      <w:proofErr w:type="spellEnd"/>
      <w:r w:rsidRPr="002910D5">
        <w:rPr>
          <w:rFonts w:ascii="Century Gothic" w:hAnsi="Century Gothic"/>
        </w:rPr>
        <w:t xml:space="preserve">): The Municipality, as the host network, would need to have a </w:t>
      </w:r>
      <w:proofErr w:type="spellStart"/>
      <w:r w:rsidRPr="002910D5">
        <w:rPr>
          <w:rFonts w:ascii="Century Gothic" w:hAnsi="Century Gothic"/>
        </w:rPr>
        <w:t>UoSA</w:t>
      </w:r>
      <w:proofErr w:type="spellEnd"/>
      <w:r w:rsidRPr="002910D5">
        <w:rPr>
          <w:rFonts w:ascii="Century Gothic" w:hAnsi="Century Gothic"/>
        </w:rPr>
        <w:t xml:space="preserve"> in place with Eskom to allow for the wheeling of energy from the municipal-connected generator to the Eskom-connected off-taker.</w:t>
      </w:r>
    </w:p>
    <w:p w14:paraId="57324046" w14:textId="456F581C" w:rsidR="002910D5" w:rsidRPr="00C24DF9" w:rsidRDefault="002910D5" w:rsidP="00871EE8">
      <w:pPr>
        <w:pStyle w:val="ListParagraph"/>
        <w:numPr>
          <w:ilvl w:val="0"/>
          <w:numId w:val="8"/>
        </w:numPr>
        <w:spacing w:beforeLines="60" w:before="144" w:afterLines="60" w:after="144" w:line="240" w:lineRule="auto"/>
        <w:contextualSpacing w:val="0"/>
        <w:rPr>
          <w:rFonts w:ascii="Century Gothic" w:hAnsi="Century Gothic"/>
        </w:rPr>
      </w:pPr>
      <w:r w:rsidRPr="002910D5">
        <w:rPr>
          <w:rFonts w:ascii="Century Gothic" w:hAnsi="Century Gothic"/>
        </w:rPr>
        <w:t>Agreement between the Generator and Municipality: The generator, being connected to the municipal grid, should have an agreement with the Municipality that covers the connection and use of the distribution system for wheeling purposes.</w:t>
      </w:r>
    </w:p>
    <w:p w14:paraId="3C6EBE5D" w14:textId="582A6431" w:rsidR="002910D5" w:rsidRPr="00C24DF9" w:rsidRDefault="002910D5" w:rsidP="00871EE8">
      <w:pPr>
        <w:pStyle w:val="ListParagraph"/>
        <w:numPr>
          <w:ilvl w:val="0"/>
          <w:numId w:val="8"/>
        </w:numPr>
        <w:spacing w:beforeLines="60" w:before="144" w:afterLines="60" w:after="144" w:line="240" w:lineRule="auto"/>
        <w:contextualSpacing w:val="0"/>
        <w:rPr>
          <w:rFonts w:ascii="Century Gothic" w:hAnsi="Century Gothic"/>
        </w:rPr>
      </w:pPr>
      <w:r w:rsidRPr="002910D5">
        <w:rPr>
          <w:rFonts w:ascii="Century Gothic" w:hAnsi="Century Gothic"/>
        </w:rPr>
        <w:t>Agreement between the Off-taker and Eskom: The off-taker, being supplied by Eskom, should have an agreement with Eskom for the provision of electricity through the wheeling arrangement.</w:t>
      </w:r>
    </w:p>
    <w:p w14:paraId="649BA28C" w14:textId="469AED0F" w:rsidR="002910D5" w:rsidRPr="00C24DF9" w:rsidRDefault="002910D5" w:rsidP="00871EE8">
      <w:pPr>
        <w:pStyle w:val="ListParagraph"/>
        <w:numPr>
          <w:ilvl w:val="0"/>
          <w:numId w:val="8"/>
        </w:numPr>
        <w:spacing w:beforeLines="60" w:before="144" w:afterLines="60" w:after="144" w:line="240" w:lineRule="auto"/>
        <w:contextualSpacing w:val="0"/>
        <w:rPr>
          <w:rFonts w:ascii="Century Gothic" w:hAnsi="Century Gothic"/>
        </w:rPr>
      </w:pPr>
      <w:r w:rsidRPr="002910D5">
        <w:rPr>
          <w:rFonts w:ascii="Century Gothic" w:hAnsi="Century Gothic"/>
        </w:rPr>
        <w:t>Billing and Energy Accounting: The Municipality needs to have a system in place to accurately measure the energy generated by the municipal-connected generator and the energy consumed by the Eskom-connected off-taker. The billing process should reflect the amount of wheeled energy transferred from the generator to the off-taker.</w:t>
      </w:r>
    </w:p>
    <w:p w14:paraId="3F5113B7" w14:textId="67394EC2" w:rsidR="002910D5" w:rsidRPr="00AF6331" w:rsidRDefault="002910D5" w:rsidP="00871EE8">
      <w:pPr>
        <w:pStyle w:val="ListParagraph"/>
        <w:numPr>
          <w:ilvl w:val="0"/>
          <w:numId w:val="8"/>
        </w:numPr>
        <w:spacing w:beforeLines="60" w:before="144" w:afterLines="60" w:after="144" w:line="240" w:lineRule="auto"/>
        <w:contextualSpacing w:val="0"/>
        <w:rPr>
          <w:rFonts w:ascii="Century Gothic" w:hAnsi="Century Gothic"/>
        </w:rPr>
      </w:pPr>
      <w:r w:rsidRPr="00AF6331">
        <w:rPr>
          <w:rFonts w:ascii="Century Gothic" w:hAnsi="Century Gothic"/>
        </w:rPr>
        <w:t>Compensation Mechanism: The compensation mechanism for this wheeling scenario would involve the Municipality crediting the Eskom-connected account</w:t>
      </w:r>
      <w:r w:rsidR="00AF6331">
        <w:rPr>
          <w:rFonts w:ascii="Century Gothic" w:hAnsi="Century Gothic"/>
        </w:rPr>
        <w:t>.</w:t>
      </w:r>
    </w:p>
    <w:p w14:paraId="0B42D2CB" w14:textId="1EB98994" w:rsidR="002910D5" w:rsidRPr="00E55368" w:rsidRDefault="002910D5" w:rsidP="009E17B0">
      <w:pPr>
        <w:spacing w:beforeLines="60" w:before="144" w:afterLines="60" w:after="144" w:line="240" w:lineRule="auto"/>
        <w:rPr>
          <w:rFonts w:ascii="Century Gothic" w:hAnsi="Century Gothic"/>
        </w:rPr>
      </w:pPr>
      <w:r w:rsidRPr="002910D5">
        <w:rPr>
          <w:rFonts w:ascii="Century Gothic" w:hAnsi="Century Gothic"/>
        </w:rPr>
        <w:t>It is important to note that implementing this wheeling scenario may involve coordination and cooperation between the Municipality and Eskom, as well as adherence to regulatory requirements and technical specifications for seamless energy transfer between the two networks. Proper monitoring and reporting mechanisms may also be necessary to ensure transparency and compliance with the wheeling arrangement</w:t>
      </w:r>
      <w:r w:rsidR="008E0FD8">
        <w:rPr>
          <w:rFonts w:ascii="Century Gothic" w:hAnsi="Century Gothic"/>
        </w:rPr>
        <w:t>.</w:t>
      </w:r>
    </w:p>
    <w:p w14:paraId="05477B4C" w14:textId="710A627B" w:rsidR="00A30157" w:rsidRPr="001158CB" w:rsidRDefault="00042B29" w:rsidP="009E17B0">
      <w:pPr>
        <w:pStyle w:val="Heading1"/>
        <w:spacing w:beforeLines="60" w:before="144" w:afterLines="60" w:after="144" w:line="240" w:lineRule="auto"/>
      </w:pPr>
      <w:bookmarkStart w:id="33" w:name="_Toc145484199"/>
      <w:r w:rsidRPr="001158CB">
        <w:t>Qualify</w:t>
      </w:r>
      <w:r w:rsidR="000C2889">
        <w:t>ing</w:t>
      </w:r>
      <w:r w:rsidRPr="001158CB">
        <w:t xml:space="preserve"> </w:t>
      </w:r>
      <w:r w:rsidR="00995401" w:rsidRPr="001158CB">
        <w:t>C</w:t>
      </w:r>
      <w:r w:rsidRPr="001158CB">
        <w:t>riteria</w:t>
      </w:r>
      <w:bookmarkEnd w:id="33"/>
      <w:r w:rsidRPr="001158CB">
        <w:t xml:space="preserve"> </w:t>
      </w:r>
    </w:p>
    <w:p w14:paraId="69939E71" w14:textId="1110A034" w:rsidR="0047450E" w:rsidRPr="00CB7974" w:rsidRDefault="009B6D7A" w:rsidP="009E17B0">
      <w:pPr>
        <w:shd w:val="clear" w:color="auto" w:fill="F2F2F2" w:themeFill="background1" w:themeFillShade="F2"/>
        <w:spacing w:beforeLines="60" w:before="144" w:afterLines="60" w:after="144" w:line="240" w:lineRule="auto"/>
        <w:rPr>
          <w:rFonts w:ascii="Century Gothic" w:hAnsi="Century Gothic"/>
          <w:b/>
          <w:bCs/>
          <w:i/>
          <w:iCs/>
          <w:u w:val="single"/>
        </w:rPr>
      </w:pPr>
      <w:r w:rsidRPr="00576D20">
        <w:rPr>
          <w:rFonts w:ascii="Segoe UI Emoji" w:hAnsi="Segoe UI Emoji" w:cs="Segoe UI Emoji"/>
        </w:rPr>
        <w:t>🔍</w:t>
      </w:r>
      <w:r w:rsidRPr="00576D20">
        <w:rPr>
          <w:rFonts w:ascii="Century Gothic" w:hAnsi="Century Gothic"/>
          <w:b/>
          <w:bCs/>
          <w:u w:val="single"/>
        </w:rPr>
        <w:t xml:space="preserve"> </w:t>
      </w:r>
      <w:r w:rsidRPr="00CB7974">
        <w:rPr>
          <w:rFonts w:ascii="Century Gothic" w:hAnsi="Century Gothic"/>
          <w:b/>
          <w:bCs/>
          <w:i/>
          <w:iCs/>
          <w:u w:val="single"/>
        </w:rPr>
        <w:t xml:space="preserve">Explanatory notes: </w:t>
      </w:r>
    </w:p>
    <w:p w14:paraId="31B9A6A4" w14:textId="4CD69F4A" w:rsidR="0073136F" w:rsidRPr="00CB7974" w:rsidRDefault="0073136F" w:rsidP="009E17B0">
      <w:pPr>
        <w:shd w:val="clear" w:color="auto" w:fill="F2F2F2" w:themeFill="background1" w:themeFillShade="F2"/>
        <w:spacing w:beforeLines="60" w:before="144" w:afterLines="60" w:after="144" w:line="240" w:lineRule="auto"/>
        <w:rPr>
          <w:rFonts w:ascii="Century Gothic" w:hAnsi="Century Gothic"/>
          <w:i/>
          <w:iCs/>
        </w:rPr>
      </w:pPr>
      <w:r w:rsidRPr="00CB7974">
        <w:rPr>
          <w:rFonts w:ascii="Century Gothic" w:hAnsi="Century Gothic"/>
          <w:i/>
          <w:iCs/>
        </w:rPr>
        <w:t xml:space="preserve">In the context of Qualifying Criteria for wheeling energy, </w:t>
      </w:r>
      <w:r w:rsidR="00A56758">
        <w:rPr>
          <w:rFonts w:ascii="Century Gothic" w:hAnsi="Century Gothic"/>
          <w:i/>
          <w:iCs/>
        </w:rPr>
        <w:t xml:space="preserve">The Municipality </w:t>
      </w:r>
      <w:r w:rsidRPr="00CB7974">
        <w:rPr>
          <w:rFonts w:ascii="Century Gothic" w:hAnsi="Century Gothic"/>
          <w:i/>
          <w:iCs/>
        </w:rPr>
        <w:t xml:space="preserve">are responsible for establishing and defining the criteria that need to be met in order to qualify for wheeling. The criteria should align with the Energy Regulation Act (ERA), third-party wheeling rules (when published), and any other relevant regulations. Here is a summary of the key points and actions for </w:t>
      </w:r>
      <w:r w:rsidR="00AD127E">
        <w:rPr>
          <w:rFonts w:ascii="Century Gothic" w:hAnsi="Century Gothic"/>
          <w:i/>
          <w:iCs/>
        </w:rPr>
        <w:t>The Municipality:</w:t>
      </w:r>
    </w:p>
    <w:p w14:paraId="76B11205" w14:textId="53E7EF37" w:rsidR="0073136F" w:rsidRPr="00CB7974" w:rsidRDefault="0073136F" w:rsidP="00871EE8">
      <w:pPr>
        <w:pStyle w:val="ListParagraph"/>
        <w:numPr>
          <w:ilvl w:val="0"/>
          <w:numId w:val="31"/>
        </w:numPr>
        <w:shd w:val="clear" w:color="auto" w:fill="F2F2F2" w:themeFill="background1" w:themeFillShade="F2"/>
        <w:spacing w:beforeLines="60" w:before="144" w:afterLines="60" w:after="144" w:line="240" w:lineRule="auto"/>
        <w:ind w:left="360"/>
        <w:contextualSpacing w:val="0"/>
        <w:rPr>
          <w:rFonts w:ascii="Century Gothic" w:hAnsi="Century Gothic"/>
          <w:i/>
          <w:iCs/>
        </w:rPr>
      </w:pPr>
      <w:r w:rsidRPr="00CB7974">
        <w:rPr>
          <w:rFonts w:ascii="Century Gothic" w:hAnsi="Century Gothic"/>
          <w:b/>
          <w:bCs/>
          <w:i/>
          <w:iCs/>
        </w:rPr>
        <w:t>Determine Eligible Consumers:</w:t>
      </w:r>
      <w:r w:rsidRPr="00CB7974">
        <w:rPr>
          <w:rFonts w:ascii="Century Gothic" w:hAnsi="Century Gothic"/>
          <w:i/>
          <w:iCs/>
        </w:rPr>
        <w:t xml:space="preserve"> </w:t>
      </w:r>
      <w:r w:rsidR="00A56758">
        <w:rPr>
          <w:rFonts w:ascii="Century Gothic" w:hAnsi="Century Gothic"/>
          <w:i/>
          <w:iCs/>
        </w:rPr>
        <w:t xml:space="preserve">The Municipality </w:t>
      </w:r>
      <w:r w:rsidRPr="00CB7974">
        <w:rPr>
          <w:rFonts w:ascii="Century Gothic" w:hAnsi="Century Gothic"/>
          <w:i/>
          <w:iCs/>
        </w:rPr>
        <w:t>need to identify the specific consumer categories eligible for wheeling. This may include consumers on specific tariffs, connected at a minimum voltage level, and with a notified maximum demand (NMD) above a certain threshold.</w:t>
      </w:r>
    </w:p>
    <w:p w14:paraId="50A16D39" w14:textId="00742FF9" w:rsidR="0073136F" w:rsidRPr="00000758" w:rsidRDefault="0073136F" w:rsidP="00871EE8">
      <w:pPr>
        <w:pStyle w:val="ListParagraph"/>
        <w:numPr>
          <w:ilvl w:val="0"/>
          <w:numId w:val="31"/>
        </w:numPr>
        <w:shd w:val="clear" w:color="auto" w:fill="F2F2F2" w:themeFill="background1" w:themeFillShade="F2"/>
        <w:spacing w:beforeLines="60" w:before="144" w:afterLines="60" w:after="144" w:line="240" w:lineRule="auto"/>
        <w:ind w:left="360"/>
        <w:contextualSpacing w:val="0"/>
        <w:rPr>
          <w:rFonts w:ascii="Century Gothic" w:hAnsi="Century Gothic"/>
          <w:i/>
          <w:iCs/>
        </w:rPr>
      </w:pPr>
      <w:r w:rsidRPr="00CB7974">
        <w:rPr>
          <w:rFonts w:ascii="Century Gothic" w:hAnsi="Century Gothic"/>
          <w:b/>
          <w:bCs/>
          <w:i/>
          <w:iCs/>
        </w:rPr>
        <w:t>Tariff Considerations:</w:t>
      </w:r>
      <w:r w:rsidRPr="00CB7974">
        <w:rPr>
          <w:rFonts w:ascii="Century Gothic" w:hAnsi="Century Gothic"/>
          <w:i/>
          <w:iCs/>
        </w:rPr>
        <w:t xml:space="preserve"> </w:t>
      </w:r>
      <w:r w:rsidR="00A56758">
        <w:rPr>
          <w:rFonts w:ascii="Century Gothic" w:hAnsi="Century Gothic"/>
          <w:i/>
          <w:iCs/>
        </w:rPr>
        <w:t xml:space="preserve">The Municipality </w:t>
      </w:r>
      <w:r w:rsidRPr="00CB7974">
        <w:rPr>
          <w:rFonts w:ascii="Century Gothic" w:hAnsi="Century Gothic"/>
          <w:i/>
          <w:iCs/>
        </w:rPr>
        <w:t>should outline the tariff rules applicable to consumers qualifying for wheeling. This includes the Network Access Charge (NAC) and the duration of the wheeling agreement. The tariff structure should ensure that consumers continue to qualify for wheeling even if their NMD decreases below the initial threshold.</w:t>
      </w:r>
    </w:p>
    <w:p w14:paraId="70105459" w14:textId="1D8E2B6B" w:rsidR="0073136F" w:rsidRPr="00CB7974" w:rsidRDefault="0073136F" w:rsidP="00871EE8">
      <w:pPr>
        <w:pStyle w:val="ListParagraph"/>
        <w:numPr>
          <w:ilvl w:val="0"/>
          <w:numId w:val="31"/>
        </w:numPr>
        <w:shd w:val="clear" w:color="auto" w:fill="F2F2F2" w:themeFill="background1" w:themeFillShade="F2"/>
        <w:spacing w:beforeLines="60" w:before="144" w:afterLines="60" w:after="144" w:line="240" w:lineRule="auto"/>
        <w:ind w:left="360"/>
        <w:contextualSpacing w:val="0"/>
        <w:rPr>
          <w:rFonts w:ascii="Century Gothic" w:hAnsi="Century Gothic"/>
          <w:i/>
          <w:iCs/>
        </w:rPr>
      </w:pPr>
      <w:r w:rsidRPr="00CB7974">
        <w:rPr>
          <w:rFonts w:ascii="Century Gothic" w:hAnsi="Century Gothic"/>
          <w:b/>
          <w:bCs/>
          <w:i/>
          <w:iCs/>
        </w:rPr>
        <w:t>Written Wheeling Agreement:</w:t>
      </w:r>
      <w:r w:rsidRPr="00CB7974">
        <w:rPr>
          <w:rFonts w:ascii="Century Gothic" w:hAnsi="Century Gothic"/>
          <w:i/>
          <w:iCs/>
        </w:rPr>
        <w:t xml:space="preserve"> </w:t>
      </w:r>
      <w:r w:rsidR="00A56758">
        <w:rPr>
          <w:rFonts w:ascii="Century Gothic" w:hAnsi="Century Gothic"/>
          <w:i/>
          <w:iCs/>
        </w:rPr>
        <w:t xml:space="preserve">The Municipality </w:t>
      </w:r>
      <w:r w:rsidRPr="00CB7974">
        <w:rPr>
          <w:rFonts w:ascii="Century Gothic" w:hAnsi="Century Gothic"/>
          <w:i/>
          <w:iCs/>
        </w:rPr>
        <w:t xml:space="preserve">must ensure that the </w:t>
      </w:r>
      <w:r w:rsidR="008E0FD8">
        <w:rPr>
          <w:rFonts w:ascii="Century Gothic" w:hAnsi="Century Gothic"/>
          <w:i/>
          <w:iCs/>
        </w:rPr>
        <w:t>Municipality</w:t>
      </w:r>
      <w:r w:rsidR="008E0FD8" w:rsidRPr="00CB7974">
        <w:rPr>
          <w:rFonts w:ascii="Century Gothic" w:hAnsi="Century Gothic"/>
          <w:i/>
          <w:iCs/>
        </w:rPr>
        <w:t xml:space="preserve"> </w:t>
      </w:r>
      <w:r w:rsidRPr="00CB7974">
        <w:rPr>
          <w:rFonts w:ascii="Century Gothic" w:hAnsi="Century Gothic"/>
          <w:i/>
          <w:iCs/>
        </w:rPr>
        <w:t xml:space="preserve">and the consumer enter into a written wheeling agreement or amend existing consumer/supply agreements to include wheeling provisions. This agreement, along with </w:t>
      </w:r>
      <w:r w:rsidR="008E0FD8">
        <w:rPr>
          <w:rFonts w:ascii="Century Gothic" w:hAnsi="Century Gothic"/>
          <w:i/>
          <w:iCs/>
        </w:rPr>
        <w:t>Municipality</w:t>
      </w:r>
      <w:r w:rsidR="008E0FD8" w:rsidRPr="00CB7974">
        <w:rPr>
          <w:rFonts w:ascii="Century Gothic" w:hAnsi="Century Gothic"/>
          <w:i/>
          <w:iCs/>
        </w:rPr>
        <w:t xml:space="preserve"> </w:t>
      </w:r>
      <w:r w:rsidRPr="00CB7974">
        <w:rPr>
          <w:rFonts w:ascii="Century Gothic" w:hAnsi="Century Gothic"/>
          <w:i/>
          <w:iCs/>
        </w:rPr>
        <w:t>by-laws, policies, and tariffs, should establish the terms and conditions for accounting and billing of wheeled energy.</w:t>
      </w:r>
    </w:p>
    <w:p w14:paraId="115E21C3" w14:textId="7C4A8575" w:rsidR="0073136F" w:rsidRPr="00CB7974" w:rsidRDefault="0073136F" w:rsidP="00871EE8">
      <w:pPr>
        <w:pStyle w:val="ListParagraph"/>
        <w:numPr>
          <w:ilvl w:val="0"/>
          <w:numId w:val="31"/>
        </w:numPr>
        <w:shd w:val="clear" w:color="auto" w:fill="F2F2F2" w:themeFill="background1" w:themeFillShade="F2"/>
        <w:spacing w:beforeLines="60" w:before="144" w:afterLines="60" w:after="144" w:line="240" w:lineRule="auto"/>
        <w:ind w:left="360"/>
        <w:contextualSpacing w:val="0"/>
        <w:rPr>
          <w:rFonts w:ascii="Century Gothic" w:hAnsi="Century Gothic"/>
          <w:i/>
          <w:iCs/>
        </w:rPr>
      </w:pPr>
      <w:r w:rsidRPr="00CB7974">
        <w:rPr>
          <w:rFonts w:ascii="Century Gothic" w:hAnsi="Century Gothic"/>
          <w:b/>
          <w:bCs/>
          <w:i/>
          <w:iCs/>
        </w:rPr>
        <w:t>Compliance with Regulations:</w:t>
      </w:r>
      <w:r w:rsidRPr="00CB7974">
        <w:rPr>
          <w:rFonts w:ascii="Century Gothic" w:hAnsi="Century Gothic"/>
          <w:i/>
          <w:iCs/>
        </w:rPr>
        <w:t xml:space="preserve"> </w:t>
      </w:r>
      <w:r w:rsidR="00A56758">
        <w:rPr>
          <w:rFonts w:ascii="Century Gothic" w:hAnsi="Century Gothic"/>
          <w:i/>
          <w:iCs/>
        </w:rPr>
        <w:t xml:space="preserve">The Municipality </w:t>
      </w:r>
      <w:r w:rsidRPr="00CB7974">
        <w:rPr>
          <w:rFonts w:ascii="Century Gothic" w:hAnsi="Century Gothic"/>
          <w:i/>
          <w:iCs/>
        </w:rPr>
        <w:t xml:space="preserve">need to ensure that the qualifying criteria and wheeling agreements comply with all relevant regulations, including </w:t>
      </w:r>
      <w:r w:rsidR="008E0FD8">
        <w:rPr>
          <w:rFonts w:ascii="Century Gothic" w:hAnsi="Century Gothic"/>
          <w:i/>
          <w:iCs/>
        </w:rPr>
        <w:t xml:space="preserve">the </w:t>
      </w:r>
      <w:r w:rsidRPr="00CB7974">
        <w:rPr>
          <w:rFonts w:ascii="Century Gothic" w:hAnsi="Century Gothic"/>
          <w:i/>
          <w:iCs/>
        </w:rPr>
        <w:t>ERA, third-party wheeling rules</w:t>
      </w:r>
      <w:r w:rsidR="008E0FD8">
        <w:rPr>
          <w:rFonts w:ascii="Century Gothic" w:hAnsi="Century Gothic"/>
          <w:i/>
          <w:iCs/>
        </w:rPr>
        <w:t xml:space="preserve"> (when published)</w:t>
      </w:r>
      <w:r w:rsidRPr="00CB7974">
        <w:rPr>
          <w:rFonts w:ascii="Century Gothic" w:hAnsi="Century Gothic"/>
          <w:i/>
          <w:iCs/>
        </w:rPr>
        <w:t>, and any applicable grid code requirements. This ensures that the wheeling process is legally and technically compliant.</w:t>
      </w:r>
      <w:r w:rsidR="00925BB0">
        <w:rPr>
          <w:rFonts w:ascii="Century Gothic" w:hAnsi="Century Gothic"/>
          <w:i/>
          <w:iCs/>
        </w:rPr>
        <w:t xml:space="preserve"> Consideration</w:t>
      </w:r>
      <w:r w:rsidR="00466EA8">
        <w:rPr>
          <w:rFonts w:ascii="Century Gothic" w:hAnsi="Century Gothic"/>
          <w:i/>
          <w:iCs/>
        </w:rPr>
        <w:t xml:space="preserve">s </w:t>
      </w:r>
      <w:r w:rsidR="00466EA8">
        <w:rPr>
          <w:rFonts w:ascii="Century Gothic" w:hAnsi="Century Gothic"/>
          <w:i/>
          <w:iCs/>
        </w:rPr>
        <w:lastRenderedPageBreak/>
        <w:t>could also include environmental impacts</w:t>
      </w:r>
      <w:r w:rsidR="001F627C">
        <w:rPr>
          <w:rFonts w:ascii="Century Gothic" w:hAnsi="Century Gothic"/>
          <w:i/>
          <w:iCs/>
        </w:rPr>
        <w:t xml:space="preserve"> and compliance to environmental regulations such as the </w:t>
      </w:r>
      <w:r w:rsidR="001F627C" w:rsidRPr="001F627C">
        <w:rPr>
          <w:rFonts w:ascii="Century Gothic" w:hAnsi="Century Gothic"/>
          <w:i/>
          <w:iCs/>
        </w:rPr>
        <w:t>National Environmental Management Act (NEMA</w:t>
      </w:r>
      <w:r w:rsidR="001F627C">
        <w:rPr>
          <w:rFonts w:ascii="Century Gothic" w:hAnsi="Century Gothic"/>
          <w:i/>
          <w:iCs/>
        </w:rPr>
        <w:t xml:space="preserve">). </w:t>
      </w:r>
    </w:p>
    <w:p w14:paraId="76580F4A" w14:textId="5408BC27" w:rsidR="0073136F" w:rsidRPr="00CB7974" w:rsidRDefault="0073136F" w:rsidP="00871EE8">
      <w:pPr>
        <w:pStyle w:val="ListParagraph"/>
        <w:numPr>
          <w:ilvl w:val="0"/>
          <w:numId w:val="31"/>
        </w:numPr>
        <w:shd w:val="clear" w:color="auto" w:fill="F2F2F2" w:themeFill="background1" w:themeFillShade="F2"/>
        <w:spacing w:beforeLines="60" w:before="144" w:afterLines="60" w:after="144" w:line="240" w:lineRule="auto"/>
        <w:ind w:left="360"/>
        <w:contextualSpacing w:val="0"/>
        <w:rPr>
          <w:rFonts w:ascii="Century Gothic" w:hAnsi="Century Gothic"/>
          <w:i/>
          <w:iCs/>
        </w:rPr>
      </w:pPr>
      <w:r w:rsidRPr="00CB7974">
        <w:rPr>
          <w:rFonts w:ascii="Century Gothic" w:hAnsi="Century Gothic"/>
          <w:b/>
          <w:bCs/>
          <w:i/>
          <w:iCs/>
        </w:rPr>
        <w:t>Generation Connection Agreement:</w:t>
      </w:r>
      <w:r w:rsidRPr="00CB7974">
        <w:rPr>
          <w:rFonts w:ascii="Century Gothic" w:hAnsi="Century Gothic"/>
          <w:i/>
          <w:iCs/>
        </w:rPr>
        <w:t xml:space="preserve"> If the generator is connecting to the </w:t>
      </w:r>
      <w:r w:rsidR="008E0FD8">
        <w:rPr>
          <w:rFonts w:ascii="Century Gothic" w:hAnsi="Century Gothic"/>
          <w:i/>
          <w:iCs/>
        </w:rPr>
        <w:t>Municipality’s</w:t>
      </w:r>
      <w:r w:rsidR="008E0FD8" w:rsidRPr="00CB7974">
        <w:rPr>
          <w:rFonts w:ascii="Century Gothic" w:hAnsi="Century Gothic"/>
          <w:i/>
          <w:iCs/>
        </w:rPr>
        <w:t xml:space="preserve"> </w:t>
      </w:r>
      <w:r w:rsidRPr="00CB7974">
        <w:rPr>
          <w:rFonts w:ascii="Century Gothic" w:hAnsi="Century Gothic"/>
          <w:i/>
          <w:iCs/>
        </w:rPr>
        <w:t xml:space="preserve">distribution network, </w:t>
      </w:r>
      <w:r w:rsidR="00A56758">
        <w:rPr>
          <w:rFonts w:ascii="Century Gothic" w:hAnsi="Century Gothic"/>
          <w:i/>
          <w:iCs/>
        </w:rPr>
        <w:t xml:space="preserve">The Municipality </w:t>
      </w:r>
      <w:r w:rsidRPr="00CB7974">
        <w:rPr>
          <w:rFonts w:ascii="Century Gothic" w:hAnsi="Century Gothic"/>
          <w:i/>
          <w:iCs/>
        </w:rPr>
        <w:t xml:space="preserve">should require the generator to enter into a generation connection agreement with the </w:t>
      </w:r>
      <w:r w:rsidR="0013372B">
        <w:rPr>
          <w:rFonts w:ascii="Century Gothic" w:hAnsi="Century Gothic"/>
          <w:i/>
          <w:iCs/>
        </w:rPr>
        <w:t>Municipality</w:t>
      </w:r>
      <w:r w:rsidRPr="00CB7974">
        <w:rPr>
          <w:rFonts w:ascii="Century Gothic" w:hAnsi="Century Gothic"/>
          <w:i/>
          <w:iCs/>
        </w:rPr>
        <w:t>. This agreement ensures that the generator meets all technical, legal, and contractual requirements before injecting energy into the system.</w:t>
      </w:r>
    </w:p>
    <w:p w14:paraId="222CC54D" w14:textId="6C3B5E3F" w:rsidR="0073136F" w:rsidRPr="00CB7974" w:rsidRDefault="0073136F" w:rsidP="00871EE8">
      <w:pPr>
        <w:pStyle w:val="ListParagraph"/>
        <w:numPr>
          <w:ilvl w:val="0"/>
          <w:numId w:val="31"/>
        </w:numPr>
        <w:shd w:val="clear" w:color="auto" w:fill="F2F2F2" w:themeFill="background1" w:themeFillShade="F2"/>
        <w:spacing w:beforeLines="60" w:before="144" w:afterLines="60" w:after="144" w:line="240" w:lineRule="auto"/>
        <w:ind w:left="360"/>
        <w:contextualSpacing w:val="0"/>
        <w:rPr>
          <w:rFonts w:ascii="Century Gothic" w:hAnsi="Century Gothic"/>
          <w:i/>
          <w:iCs/>
        </w:rPr>
      </w:pPr>
      <w:r w:rsidRPr="00CB7974">
        <w:rPr>
          <w:rFonts w:ascii="Century Gothic" w:hAnsi="Century Gothic"/>
          <w:b/>
          <w:bCs/>
          <w:i/>
          <w:iCs/>
        </w:rPr>
        <w:t>Use-of-System Agreement:</w:t>
      </w:r>
      <w:r w:rsidRPr="00CB7974">
        <w:rPr>
          <w:rFonts w:ascii="Century Gothic" w:hAnsi="Century Gothic"/>
          <w:i/>
          <w:iCs/>
        </w:rPr>
        <w:t xml:space="preserve"> </w:t>
      </w:r>
      <w:r w:rsidR="00A56758">
        <w:rPr>
          <w:rFonts w:ascii="Century Gothic" w:hAnsi="Century Gothic"/>
          <w:i/>
          <w:iCs/>
        </w:rPr>
        <w:t xml:space="preserve">The Municipality </w:t>
      </w:r>
      <w:r w:rsidRPr="00CB7974">
        <w:rPr>
          <w:rFonts w:ascii="Century Gothic" w:hAnsi="Century Gothic"/>
          <w:i/>
          <w:iCs/>
        </w:rPr>
        <w:t xml:space="preserve">should require the generator or energy trader to enter into a wheeling (use-of-system) agreement with the </w:t>
      </w:r>
      <w:r w:rsidR="0013372B">
        <w:rPr>
          <w:rFonts w:ascii="Century Gothic" w:hAnsi="Century Gothic"/>
          <w:i/>
          <w:iCs/>
        </w:rPr>
        <w:t>Municipality</w:t>
      </w:r>
      <w:r w:rsidR="0013372B" w:rsidRPr="00CB7974">
        <w:rPr>
          <w:rFonts w:ascii="Century Gothic" w:hAnsi="Century Gothic"/>
          <w:i/>
          <w:iCs/>
        </w:rPr>
        <w:t xml:space="preserve"> </w:t>
      </w:r>
      <w:r w:rsidRPr="00CB7974">
        <w:rPr>
          <w:rFonts w:ascii="Century Gothic" w:hAnsi="Century Gothic"/>
          <w:i/>
          <w:iCs/>
        </w:rPr>
        <w:t>and, if necessary, with Eskom. These agreements establish the terms and conditions for the wheeling process, including the charges, metering, and other relevant aspects.</w:t>
      </w:r>
    </w:p>
    <w:p w14:paraId="6AFEF306" w14:textId="5B9B96E4" w:rsidR="0073136F" w:rsidRPr="00CB7974" w:rsidRDefault="0073136F" w:rsidP="00871EE8">
      <w:pPr>
        <w:pStyle w:val="ListParagraph"/>
        <w:numPr>
          <w:ilvl w:val="0"/>
          <w:numId w:val="31"/>
        </w:numPr>
        <w:shd w:val="clear" w:color="auto" w:fill="F2F2F2" w:themeFill="background1" w:themeFillShade="F2"/>
        <w:spacing w:beforeLines="60" w:before="144" w:afterLines="60" w:after="144" w:line="240" w:lineRule="auto"/>
        <w:ind w:left="360"/>
        <w:contextualSpacing w:val="0"/>
        <w:rPr>
          <w:rFonts w:ascii="Century Gothic" w:hAnsi="Century Gothic"/>
          <w:i/>
          <w:iCs/>
        </w:rPr>
      </w:pPr>
      <w:r w:rsidRPr="00CB7974">
        <w:rPr>
          <w:rFonts w:ascii="Century Gothic" w:hAnsi="Century Gothic"/>
          <w:b/>
          <w:bCs/>
          <w:i/>
          <w:iCs/>
        </w:rPr>
        <w:t>Metering and Measurement:</w:t>
      </w:r>
      <w:r w:rsidRPr="00CB7974">
        <w:rPr>
          <w:rFonts w:ascii="Century Gothic" w:hAnsi="Century Gothic"/>
          <w:i/>
          <w:iCs/>
        </w:rPr>
        <w:t xml:space="preserve"> </w:t>
      </w:r>
      <w:r w:rsidR="00A56758">
        <w:rPr>
          <w:rFonts w:ascii="Century Gothic" w:hAnsi="Century Gothic"/>
          <w:i/>
          <w:iCs/>
        </w:rPr>
        <w:t xml:space="preserve">The Municipality </w:t>
      </w:r>
      <w:r w:rsidRPr="00CB7974">
        <w:rPr>
          <w:rFonts w:ascii="Century Gothic" w:hAnsi="Century Gothic"/>
          <w:i/>
          <w:iCs/>
        </w:rPr>
        <w:t>are responsible for</w:t>
      </w:r>
      <w:r w:rsidR="00297E76" w:rsidRPr="00CB7974">
        <w:rPr>
          <w:rFonts w:ascii="Century Gothic" w:hAnsi="Century Gothic"/>
          <w:i/>
          <w:iCs/>
        </w:rPr>
        <w:t xml:space="preserve"> advising </w:t>
      </w:r>
      <w:r w:rsidR="00F40FEE" w:rsidRPr="00CB7974">
        <w:rPr>
          <w:rFonts w:ascii="Century Gothic" w:hAnsi="Century Gothic"/>
          <w:i/>
          <w:iCs/>
        </w:rPr>
        <w:t xml:space="preserve">generators and customers on requirements </w:t>
      </w:r>
      <w:r w:rsidR="0013372B">
        <w:rPr>
          <w:rFonts w:ascii="Century Gothic" w:hAnsi="Century Gothic"/>
          <w:i/>
          <w:iCs/>
        </w:rPr>
        <w:t xml:space="preserve">for </w:t>
      </w:r>
      <w:r w:rsidRPr="00CB7974">
        <w:rPr>
          <w:rFonts w:ascii="Century Gothic" w:hAnsi="Century Gothic"/>
          <w:i/>
          <w:iCs/>
        </w:rPr>
        <w:t xml:space="preserve">installing and maintaining metering equipment to measure the electricity at each metering point, such as </w:t>
      </w:r>
      <w:r w:rsidR="0013372B">
        <w:rPr>
          <w:rFonts w:ascii="Century Gothic" w:hAnsi="Century Gothic"/>
          <w:i/>
          <w:iCs/>
        </w:rPr>
        <w:t xml:space="preserve">the </w:t>
      </w:r>
      <w:r w:rsidRPr="00CB7974">
        <w:rPr>
          <w:rFonts w:ascii="Century Gothic" w:hAnsi="Century Gothic"/>
          <w:i/>
          <w:iCs/>
        </w:rPr>
        <w:t>generation and consumer points. This ensures accurate measurement and accounting of wheeled energy.</w:t>
      </w:r>
      <w:r w:rsidR="00F7192A">
        <w:rPr>
          <w:rFonts w:ascii="Century Gothic" w:hAnsi="Century Gothic"/>
          <w:i/>
          <w:iCs/>
        </w:rPr>
        <w:t xml:space="preserve"> The </w:t>
      </w:r>
      <w:r w:rsidR="00616DC4">
        <w:rPr>
          <w:rFonts w:ascii="Century Gothic" w:hAnsi="Century Gothic"/>
          <w:i/>
          <w:iCs/>
        </w:rPr>
        <w:t>Municipality must ensure continuous metering installation integrity.</w:t>
      </w:r>
    </w:p>
    <w:p w14:paraId="041CE59A" w14:textId="00C4685B" w:rsidR="0073136F" w:rsidRPr="00CB7974" w:rsidRDefault="0073136F" w:rsidP="00871EE8">
      <w:pPr>
        <w:pStyle w:val="ListParagraph"/>
        <w:numPr>
          <w:ilvl w:val="0"/>
          <w:numId w:val="31"/>
        </w:numPr>
        <w:shd w:val="clear" w:color="auto" w:fill="F2F2F2" w:themeFill="background1" w:themeFillShade="F2"/>
        <w:spacing w:beforeLines="60" w:before="144" w:afterLines="60" w:after="144" w:line="240" w:lineRule="auto"/>
        <w:ind w:left="360"/>
        <w:contextualSpacing w:val="0"/>
        <w:rPr>
          <w:rFonts w:ascii="Century Gothic" w:hAnsi="Century Gothic"/>
          <w:i/>
          <w:iCs/>
        </w:rPr>
      </w:pPr>
      <w:r w:rsidRPr="00CB7974">
        <w:rPr>
          <w:rFonts w:ascii="Century Gothic" w:hAnsi="Century Gothic"/>
          <w:b/>
          <w:bCs/>
          <w:i/>
          <w:iCs/>
        </w:rPr>
        <w:t>Network Capacity Considerations:</w:t>
      </w:r>
      <w:r w:rsidRPr="00CB7974">
        <w:rPr>
          <w:rFonts w:ascii="Century Gothic" w:hAnsi="Century Gothic"/>
          <w:i/>
          <w:iCs/>
        </w:rPr>
        <w:t xml:space="preserve"> </w:t>
      </w:r>
      <w:r w:rsidR="00A56758">
        <w:rPr>
          <w:rFonts w:ascii="Century Gothic" w:hAnsi="Century Gothic"/>
          <w:i/>
          <w:iCs/>
        </w:rPr>
        <w:t xml:space="preserve">The Municipality </w:t>
      </w:r>
      <w:r w:rsidRPr="00CB7974">
        <w:rPr>
          <w:rFonts w:ascii="Century Gothic" w:hAnsi="Century Gothic"/>
          <w:i/>
          <w:iCs/>
        </w:rPr>
        <w:t xml:space="preserve">must assess the network capacity of the </w:t>
      </w:r>
      <w:r w:rsidR="0013372B">
        <w:rPr>
          <w:rFonts w:ascii="Century Gothic" w:hAnsi="Century Gothic"/>
          <w:i/>
          <w:iCs/>
        </w:rPr>
        <w:t>Municipality’s</w:t>
      </w:r>
      <w:r w:rsidR="0013372B" w:rsidRPr="00CB7974">
        <w:rPr>
          <w:rFonts w:ascii="Century Gothic" w:hAnsi="Century Gothic"/>
          <w:i/>
          <w:iCs/>
        </w:rPr>
        <w:t xml:space="preserve"> </w:t>
      </w:r>
      <w:r w:rsidRPr="00CB7974">
        <w:rPr>
          <w:rFonts w:ascii="Century Gothic" w:hAnsi="Century Gothic"/>
          <w:i/>
          <w:iCs/>
        </w:rPr>
        <w:t>grid and, if applicable, Eskom's grid to ensure that the wheeling agreements do not exceed the network's capacity. This evaluation helps avoid any adverse impact on the reliability and stability of the electricity supply.</w:t>
      </w:r>
    </w:p>
    <w:p w14:paraId="28D785A8" w14:textId="0C9D002A" w:rsidR="0002422B" w:rsidRDefault="0002422B" w:rsidP="00871EE8">
      <w:pPr>
        <w:pStyle w:val="ListParagraph"/>
        <w:numPr>
          <w:ilvl w:val="0"/>
          <w:numId w:val="31"/>
        </w:numPr>
        <w:shd w:val="clear" w:color="auto" w:fill="F2F2F2" w:themeFill="background1" w:themeFillShade="F2"/>
        <w:spacing w:beforeLines="60" w:before="144" w:afterLines="60" w:after="144" w:line="240" w:lineRule="auto"/>
        <w:ind w:left="360"/>
        <w:contextualSpacing w:val="0"/>
        <w:rPr>
          <w:rFonts w:ascii="Century Gothic" w:hAnsi="Century Gothic"/>
          <w:i/>
          <w:iCs/>
        </w:rPr>
      </w:pPr>
      <w:r>
        <w:rPr>
          <w:rFonts w:ascii="Century Gothic" w:hAnsi="Century Gothic"/>
          <w:b/>
          <w:bCs/>
          <w:i/>
          <w:iCs/>
        </w:rPr>
        <w:t>Generator Quality of Supply Considerations:</w:t>
      </w:r>
      <w:r>
        <w:rPr>
          <w:rFonts w:ascii="Century Gothic" w:hAnsi="Century Gothic"/>
          <w:i/>
          <w:iCs/>
        </w:rPr>
        <w:t xml:space="preserve"> </w:t>
      </w:r>
      <w:r w:rsidR="00A56758">
        <w:rPr>
          <w:rFonts w:ascii="Century Gothic" w:hAnsi="Century Gothic"/>
          <w:i/>
          <w:iCs/>
        </w:rPr>
        <w:t xml:space="preserve">The Municipality </w:t>
      </w:r>
      <w:r w:rsidRPr="00CB7974">
        <w:rPr>
          <w:rFonts w:ascii="Century Gothic" w:hAnsi="Century Gothic"/>
          <w:i/>
          <w:iCs/>
        </w:rPr>
        <w:t xml:space="preserve">must assess the </w:t>
      </w:r>
      <w:r>
        <w:rPr>
          <w:rFonts w:ascii="Century Gothic" w:hAnsi="Century Gothic"/>
          <w:i/>
          <w:iCs/>
        </w:rPr>
        <w:t xml:space="preserve">quality of supply </w:t>
      </w:r>
      <w:r w:rsidRPr="00CB7974">
        <w:rPr>
          <w:rFonts w:ascii="Century Gothic" w:hAnsi="Century Gothic"/>
          <w:i/>
          <w:iCs/>
        </w:rPr>
        <w:t xml:space="preserve">of the </w:t>
      </w:r>
      <w:r w:rsidR="0013372B">
        <w:rPr>
          <w:rFonts w:ascii="Century Gothic" w:hAnsi="Century Gothic"/>
          <w:i/>
          <w:iCs/>
        </w:rPr>
        <w:t>Municipality’s</w:t>
      </w:r>
      <w:r w:rsidR="0013372B" w:rsidRPr="00CB7974">
        <w:rPr>
          <w:rFonts w:ascii="Century Gothic" w:hAnsi="Century Gothic"/>
          <w:i/>
          <w:iCs/>
        </w:rPr>
        <w:t xml:space="preserve"> </w:t>
      </w:r>
      <w:r w:rsidRPr="00CB7974">
        <w:rPr>
          <w:rFonts w:ascii="Century Gothic" w:hAnsi="Century Gothic"/>
          <w:i/>
          <w:iCs/>
        </w:rPr>
        <w:t xml:space="preserve">grid and, if applicable, Eskom's grid to ensure that the </w:t>
      </w:r>
      <w:r w:rsidR="004D691B">
        <w:rPr>
          <w:rFonts w:ascii="Century Gothic" w:hAnsi="Century Gothic"/>
          <w:i/>
          <w:iCs/>
        </w:rPr>
        <w:t xml:space="preserve">parties to the </w:t>
      </w:r>
      <w:r w:rsidRPr="00CB7974">
        <w:rPr>
          <w:rFonts w:ascii="Century Gothic" w:hAnsi="Century Gothic"/>
          <w:i/>
          <w:iCs/>
        </w:rPr>
        <w:t>wheeling agreement</w:t>
      </w:r>
      <w:r w:rsidR="0013372B">
        <w:rPr>
          <w:rFonts w:ascii="Century Gothic" w:hAnsi="Century Gothic"/>
          <w:i/>
          <w:iCs/>
        </w:rPr>
        <w:t xml:space="preserve"> (specially the generator) </w:t>
      </w:r>
      <w:r w:rsidRPr="00CB7974">
        <w:rPr>
          <w:rFonts w:ascii="Century Gothic" w:hAnsi="Century Gothic"/>
          <w:i/>
          <w:iCs/>
        </w:rPr>
        <w:t xml:space="preserve">do not </w:t>
      </w:r>
      <w:r w:rsidR="000D4315">
        <w:rPr>
          <w:rFonts w:ascii="Century Gothic" w:hAnsi="Century Gothic"/>
          <w:i/>
          <w:iCs/>
        </w:rPr>
        <w:t>negatively affect</w:t>
      </w:r>
      <w:r w:rsidRPr="00CB7974">
        <w:rPr>
          <w:rFonts w:ascii="Century Gothic" w:hAnsi="Century Gothic"/>
          <w:i/>
          <w:iCs/>
        </w:rPr>
        <w:t xml:space="preserve"> the </w:t>
      </w:r>
      <w:r w:rsidR="000D4315">
        <w:rPr>
          <w:rFonts w:ascii="Century Gothic" w:hAnsi="Century Gothic"/>
          <w:i/>
          <w:iCs/>
        </w:rPr>
        <w:t xml:space="preserve">quality of </w:t>
      </w:r>
      <w:r w:rsidR="009B2375">
        <w:rPr>
          <w:rFonts w:ascii="Century Gothic" w:hAnsi="Century Gothic"/>
          <w:i/>
          <w:iCs/>
        </w:rPr>
        <w:t>power supply.</w:t>
      </w:r>
      <w:r w:rsidRPr="00CB7974">
        <w:rPr>
          <w:rFonts w:ascii="Century Gothic" w:hAnsi="Century Gothic"/>
          <w:i/>
          <w:iCs/>
        </w:rPr>
        <w:t xml:space="preserve"> This evaluation helps avoid any adverse impact on the </w:t>
      </w:r>
      <w:r w:rsidR="006E712B">
        <w:rPr>
          <w:rFonts w:ascii="Century Gothic" w:hAnsi="Century Gothic"/>
          <w:i/>
          <w:iCs/>
        </w:rPr>
        <w:t xml:space="preserve">quality, </w:t>
      </w:r>
      <w:r w:rsidRPr="00CB7974">
        <w:rPr>
          <w:rFonts w:ascii="Century Gothic" w:hAnsi="Century Gothic"/>
          <w:i/>
          <w:iCs/>
        </w:rPr>
        <w:t>reliability</w:t>
      </w:r>
      <w:r w:rsidR="006B7A8B" w:rsidRPr="00CB7974">
        <w:rPr>
          <w:rFonts w:ascii="Century Gothic" w:hAnsi="Century Gothic"/>
          <w:i/>
          <w:iCs/>
        </w:rPr>
        <w:t>,</w:t>
      </w:r>
      <w:r w:rsidRPr="00CB7974">
        <w:rPr>
          <w:rFonts w:ascii="Century Gothic" w:hAnsi="Century Gothic"/>
          <w:i/>
          <w:iCs/>
        </w:rPr>
        <w:t xml:space="preserve"> and stability of the electricity supply.</w:t>
      </w:r>
      <w:r w:rsidR="008C569E">
        <w:rPr>
          <w:rFonts w:ascii="Century Gothic" w:hAnsi="Century Gothic"/>
          <w:i/>
          <w:iCs/>
        </w:rPr>
        <w:t xml:space="preserve"> Consideration</w:t>
      </w:r>
      <w:r w:rsidR="00E14D53">
        <w:rPr>
          <w:rFonts w:ascii="Century Gothic" w:hAnsi="Century Gothic"/>
          <w:i/>
          <w:iCs/>
        </w:rPr>
        <w:t xml:space="preserve"> could be around establishing a base</w:t>
      </w:r>
      <w:r w:rsidR="0013372B">
        <w:rPr>
          <w:rFonts w:ascii="Century Gothic" w:hAnsi="Century Gothic"/>
          <w:i/>
          <w:iCs/>
        </w:rPr>
        <w:t>load,</w:t>
      </w:r>
      <w:r w:rsidR="00E14D53">
        <w:rPr>
          <w:rFonts w:ascii="Century Gothic" w:hAnsi="Century Gothic"/>
          <w:i/>
          <w:iCs/>
        </w:rPr>
        <w:t xml:space="preserve"> and continuous monitoring of Quality of Supply. </w:t>
      </w:r>
    </w:p>
    <w:p w14:paraId="494A730D" w14:textId="15B5D521" w:rsidR="00766115" w:rsidRPr="00CB7974" w:rsidRDefault="00CF1D1C" w:rsidP="00871EE8">
      <w:pPr>
        <w:pStyle w:val="ListParagraph"/>
        <w:numPr>
          <w:ilvl w:val="0"/>
          <w:numId w:val="31"/>
        </w:numPr>
        <w:shd w:val="clear" w:color="auto" w:fill="F2F2F2" w:themeFill="background1" w:themeFillShade="F2"/>
        <w:spacing w:beforeLines="60" w:before="144" w:afterLines="60" w:after="144" w:line="240" w:lineRule="auto"/>
        <w:ind w:left="360"/>
        <w:contextualSpacing w:val="0"/>
        <w:rPr>
          <w:rFonts w:ascii="Century Gothic" w:hAnsi="Century Gothic"/>
          <w:i/>
          <w:iCs/>
        </w:rPr>
      </w:pPr>
      <w:r>
        <w:rPr>
          <w:rFonts w:ascii="Century Gothic" w:hAnsi="Century Gothic"/>
          <w:b/>
          <w:bCs/>
          <w:i/>
          <w:iCs/>
        </w:rPr>
        <w:t>Operation of Other Wheeling Agreements:</w:t>
      </w:r>
      <w:r w:rsidR="006E712B">
        <w:rPr>
          <w:rFonts w:ascii="Century Gothic" w:hAnsi="Century Gothic"/>
          <w:i/>
          <w:iCs/>
        </w:rPr>
        <w:t xml:space="preserve"> </w:t>
      </w:r>
      <w:r w:rsidR="00A56758">
        <w:rPr>
          <w:rFonts w:ascii="Century Gothic" w:hAnsi="Century Gothic"/>
          <w:i/>
          <w:iCs/>
        </w:rPr>
        <w:t xml:space="preserve">The Municipality </w:t>
      </w:r>
      <w:r w:rsidR="006E712B">
        <w:rPr>
          <w:rFonts w:ascii="Century Gothic" w:hAnsi="Century Gothic"/>
          <w:i/>
          <w:iCs/>
        </w:rPr>
        <w:t xml:space="preserve">must assess any existing wheeling agreements </w:t>
      </w:r>
      <w:r w:rsidR="007016B4">
        <w:rPr>
          <w:rFonts w:ascii="Century Gothic" w:hAnsi="Century Gothic"/>
          <w:i/>
          <w:iCs/>
        </w:rPr>
        <w:t>where</w:t>
      </w:r>
      <w:r w:rsidR="006B7A8B">
        <w:rPr>
          <w:rFonts w:ascii="Century Gothic" w:hAnsi="Century Gothic"/>
          <w:i/>
          <w:iCs/>
        </w:rPr>
        <w:t xml:space="preserve"> the </w:t>
      </w:r>
      <w:r w:rsidR="00F50951">
        <w:rPr>
          <w:rFonts w:ascii="Century Gothic" w:hAnsi="Century Gothic"/>
          <w:i/>
          <w:iCs/>
        </w:rPr>
        <w:t>applicant</w:t>
      </w:r>
      <w:r w:rsidR="005F32B0">
        <w:rPr>
          <w:rFonts w:ascii="Century Gothic" w:hAnsi="Century Gothic"/>
          <w:i/>
          <w:iCs/>
        </w:rPr>
        <w:t xml:space="preserve"> and generator</w:t>
      </w:r>
      <w:r w:rsidR="007016B4">
        <w:rPr>
          <w:rFonts w:ascii="Century Gothic" w:hAnsi="Century Gothic"/>
          <w:i/>
          <w:iCs/>
        </w:rPr>
        <w:t xml:space="preserve"> might be involved</w:t>
      </w:r>
      <w:r w:rsidR="005F32B0">
        <w:rPr>
          <w:rFonts w:ascii="Century Gothic" w:hAnsi="Century Gothic"/>
          <w:i/>
          <w:iCs/>
        </w:rPr>
        <w:t xml:space="preserve">. </w:t>
      </w:r>
      <w:r w:rsidR="00D378B1">
        <w:rPr>
          <w:rFonts w:ascii="Century Gothic" w:hAnsi="Century Gothic"/>
          <w:i/>
          <w:iCs/>
        </w:rPr>
        <w:t>Considerations must be around other municipalities, length of agreements, and any potential penalties or s</w:t>
      </w:r>
      <w:r w:rsidR="00B95B07">
        <w:rPr>
          <w:rFonts w:ascii="Century Gothic" w:hAnsi="Century Gothic"/>
          <w:i/>
          <w:iCs/>
        </w:rPr>
        <w:t xml:space="preserve">anctions raised against the applicant in other Municipalities. </w:t>
      </w:r>
    </w:p>
    <w:p w14:paraId="254E9AB5" w14:textId="434D1D70" w:rsidR="0047450E" w:rsidRPr="00081623" w:rsidRDefault="0073136F" w:rsidP="00081623">
      <w:pPr>
        <w:shd w:val="clear" w:color="auto" w:fill="F2F2F2" w:themeFill="background1" w:themeFillShade="F2"/>
        <w:spacing w:beforeLines="60" w:before="144" w:afterLines="60" w:after="144" w:line="240" w:lineRule="auto"/>
        <w:rPr>
          <w:rFonts w:ascii="Century Gothic" w:hAnsi="Century Gothic"/>
          <w:i/>
          <w:iCs/>
        </w:rPr>
      </w:pPr>
      <w:r w:rsidRPr="00CB7974">
        <w:rPr>
          <w:rFonts w:ascii="Century Gothic" w:hAnsi="Century Gothic"/>
          <w:i/>
          <w:iCs/>
        </w:rPr>
        <w:t xml:space="preserve">By establishing clear and comprehensive qualifying criteria, </w:t>
      </w:r>
      <w:r w:rsidR="00A56758">
        <w:rPr>
          <w:rFonts w:ascii="Century Gothic" w:hAnsi="Century Gothic"/>
          <w:i/>
          <w:iCs/>
        </w:rPr>
        <w:t xml:space="preserve">The Municipality </w:t>
      </w:r>
      <w:r w:rsidRPr="00CB7974">
        <w:rPr>
          <w:rFonts w:ascii="Century Gothic" w:hAnsi="Century Gothic"/>
          <w:i/>
          <w:iCs/>
        </w:rPr>
        <w:t>enable a transparent and consistent process for wheeling energy. They ensure compliance with regulations, protect the integrity of the distribution network, and facilitate efficient and effective wheeling operations.</w:t>
      </w:r>
    </w:p>
    <w:p w14:paraId="0A20A766" w14:textId="77777777" w:rsidR="00BB1DB0" w:rsidRPr="00554436" w:rsidRDefault="00BB1DB0" w:rsidP="009E17B0">
      <w:pPr>
        <w:spacing w:beforeLines="60" w:before="144" w:afterLines="60" w:after="144" w:line="240" w:lineRule="auto"/>
        <w:rPr>
          <w:rFonts w:ascii="Century Gothic" w:hAnsi="Century Gothic"/>
          <w:b/>
          <w:bCs/>
          <w:u w:val="single"/>
        </w:rPr>
      </w:pPr>
      <w:r w:rsidRPr="00FE49F7">
        <w:rPr>
          <w:rFonts w:ascii="Segoe UI Emoji" w:hAnsi="Segoe UI Emoji" w:cs="Segoe UI Emoji"/>
          <w:b/>
          <w:bCs/>
          <w:u w:val="single"/>
        </w:rPr>
        <w:t>💡</w:t>
      </w:r>
      <w:r w:rsidRPr="00FE49F7">
        <w:rPr>
          <w:rFonts w:ascii="Century Gothic" w:hAnsi="Century Gothic"/>
          <w:b/>
          <w:bCs/>
          <w:u w:val="single"/>
        </w:rPr>
        <w:t xml:space="preserve">Illustrative example </w:t>
      </w:r>
    </w:p>
    <w:p w14:paraId="16ECEA80" w14:textId="6A0979F2" w:rsidR="00BB1DB0" w:rsidRDefault="00BB1DB0" w:rsidP="009E17B0">
      <w:pPr>
        <w:spacing w:beforeLines="60" w:before="144" w:afterLines="60" w:after="144" w:line="240" w:lineRule="auto"/>
        <w:rPr>
          <w:rFonts w:ascii="Century Gothic" w:hAnsi="Century Gothic"/>
        </w:rPr>
      </w:pPr>
      <w:r>
        <w:rPr>
          <w:rFonts w:ascii="Century Gothic" w:hAnsi="Century Gothic"/>
        </w:rPr>
        <w:t xml:space="preserve">Please refer to Appendix B of illustrative examples of qualifying criteria from Municipalities </w:t>
      </w:r>
    </w:p>
    <w:p w14:paraId="690C034E" w14:textId="7E2EE0B5" w:rsidR="008624B8" w:rsidRPr="00DC5656" w:rsidRDefault="008624B8" w:rsidP="009E17B0">
      <w:pPr>
        <w:spacing w:beforeLines="60" w:before="144" w:afterLines="60" w:after="144" w:line="240" w:lineRule="auto"/>
        <w:rPr>
          <w:rFonts w:ascii="Century Gothic" w:hAnsi="Century Gothic"/>
        </w:rPr>
      </w:pPr>
      <w:r w:rsidRPr="00DC5656">
        <w:rPr>
          <w:rFonts w:ascii="Century Gothic" w:hAnsi="Century Gothic"/>
        </w:rPr>
        <w:t>For wheeling electricity from within</w:t>
      </w:r>
      <w:r w:rsidR="0013372B">
        <w:rPr>
          <w:rFonts w:ascii="Century Gothic" w:hAnsi="Century Gothic"/>
        </w:rPr>
        <w:t>,</w:t>
      </w:r>
      <w:r w:rsidRPr="00DC5656">
        <w:rPr>
          <w:rFonts w:ascii="Century Gothic" w:hAnsi="Century Gothic"/>
        </w:rPr>
        <w:t xml:space="preserve"> or to</w:t>
      </w:r>
      <w:r w:rsidR="0013372B">
        <w:rPr>
          <w:rFonts w:ascii="Century Gothic" w:hAnsi="Century Gothic"/>
        </w:rPr>
        <w:t>,</w:t>
      </w:r>
      <w:r w:rsidRPr="00DC5656">
        <w:rPr>
          <w:rFonts w:ascii="Century Gothic" w:hAnsi="Century Gothic"/>
        </w:rPr>
        <w:t xml:space="preserve"> the municipal electricity </w:t>
      </w:r>
      <w:r w:rsidR="008A351F">
        <w:rPr>
          <w:rFonts w:ascii="Century Gothic" w:hAnsi="Century Gothic"/>
        </w:rPr>
        <w:t>distribution</w:t>
      </w:r>
      <w:r w:rsidRPr="00DC5656">
        <w:rPr>
          <w:rFonts w:ascii="Century Gothic" w:hAnsi="Century Gothic"/>
        </w:rPr>
        <w:t xml:space="preserve"> network, the following needs to be considered by </w:t>
      </w:r>
      <w:r w:rsidR="008B6814" w:rsidRPr="00DC5656">
        <w:rPr>
          <w:rFonts w:ascii="Century Gothic" w:hAnsi="Century Gothic"/>
        </w:rPr>
        <w:t xml:space="preserve">the </w:t>
      </w:r>
      <w:r w:rsidR="00377C0D" w:rsidRPr="00DC5656">
        <w:rPr>
          <w:rFonts w:ascii="Century Gothic" w:hAnsi="Century Gothic"/>
        </w:rPr>
        <w:t>M</w:t>
      </w:r>
      <w:r w:rsidR="008B6814" w:rsidRPr="00DC5656">
        <w:rPr>
          <w:rFonts w:ascii="Century Gothic" w:hAnsi="Century Gothic"/>
        </w:rPr>
        <w:t>unicipality</w:t>
      </w:r>
      <w:r w:rsidRPr="00DC5656">
        <w:rPr>
          <w:rFonts w:ascii="Century Gothic" w:hAnsi="Century Gothic"/>
        </w:rPr>
        <w:t>:</w:t>
      </w:r>
    </w:p>
    <w:p w14:paraId="0CE7B376" w14:textId="5552EB8D" w:rsidR="008624B8" w:rsidRPr="009172FA" w:rsidRDefault="008624B8" w:rsidP="00541C65">
      <w:pPr>
        <w:pStyle w:val="ListParagraph"/>
        <w:numPr>
          <w:ilvl w:val="0"/>
          <w:numId w:val="4"/>
        </w:numPr>
        <w:pBdr>
          <w:top w:val="nil"/>
          <w:left w:val="nil"/>
          <w:bottom w:val="nil"/>
          <w:right w:val="nil"/>
          <w:between w:val="nil"/>
        </w:pBdr>
        <w:spacing w:beforeLines="60" w:before="144" w:afterLines="60" w:after="144" w:line="240" w:lineRule="auto"/>
        <w:contextualSpacing w:val="0"/>
        <w:rPr>
          <w:rFonts w:ascii="Century Gothic" w:hAnsi="Century Gothic"/>
        </w:rPr>
      </w:pPr>
      <w:r w:rsidRPr="009172FA">
        <w:rPr>
          <w:rFonts w:ascii="Century Gothic" w:hAnsi="Century Gothic"/>
        </w:rPr>
        <w:t xml:space="preserve">Safety </w:t>
      </w:r>
    </w:p>
    <w:p w14:paraId="17D4DF21" w14:textId="2C9C07A7" w:rsidR="00BF323F" w:rsidRPr="00BF323F" w:rsidRDefault="00BF323F" w:rsidP="009E17B0">
      <w:pPr>
        <w:spacing w:beforeLines="60" w:before="144" w:afterLines="60" w:after="144" w:line="240" w:lineRule="auto"/>
        <w:ind w:left="360"/>
        <w:rPr>
          <w:rFonts w:ascii="Century Gothic" w:hAnsi="Century Gothic"/>
        </w:rPr>
      </w:pPr>
      <w:r>
        <w:rPr>
          <w:rFonts w:ascii="Century Gothic" w:hAnsi="Century Gothic"/>
        </w:rPr>
        <w:t xml:space="preserve">Safety and security in the electrical environment </w:t>
      </w:r>
      <w:r w:rsidR="006A0877">
        <w:rPr>
          <w:rFonts w:ascii="Century Gothic" w:hAnsi="Century Gothic"/>
        </w:rPr>
        <w:t>are</w:t>
      </w:r>
      <w:r>
        <w:rPr>
          <w:rFonts w:ascii="Century Gothic" w:hAnsi="Century Gothic"/>
        </w:rPr>
        <w:t xml:space="preserve"> of the utmost importance</w:t>
      </w:r>
      <w:r w:rsidR="00A502E2">
        <w:rPr>
          <w:rFonts w:ascii="Century Gothic" w:hAnsi="Century Gothic"/>
        </w:rPr>
        <w:t>. T</w:t>
      </w:r>
      <w:r w:rsidR="00EB0EC6">
        <w:rPr>
          <w:rFonts w:ascii="Century Gothic" w:hAnsi="Century Gothic"/>
        </w:rPr>
        <w:t xml:space="preserve">here </w:t>
      </w:r>
      <w:r w:rsidR="00DB0489">
        <w:rPr>
          <w:rFonts w:ascii="Century Gothic" w:hAnsi="Century Gothic"/>
        </w:rPr>
        <w:t>is</w:t>
      </w:r>
      <w:r w:rsidR="00EB0EC6">
        <w:rPr>
          <w:rFonts w:ascii="Century Gothic" w:hAnsi="Century Gothic"/>
        </w:rPr>
        <w:t xml:space="preserve"> </w:t>
      </w:r>
      <w:r>
        <w:rPr>
          <w:rFonts w:ascii="Century Gothic" w:hAnsi="Century Gothic"/>
        </w:rPr>
        <w:t xml:space="preserve">no tolerance </w:t>
      </w:r>
      <w:r w:rsidR="00EB0EC6">
        <w:rPr>
          <w:rFonts w:ascii="Century Gothic" w:hAnsi="Century Gothic"/>
        </w:rPr>
        <w:t xml:space="preserve">for any </w:t>
      </w:r>
      <w:r>
        <w:rPr>
          <w:rFonts w:ascii="Century Gothic" w:hAnsi="Century Gothic"/>
        </w:rPr>
        <w:t>deviation from regulatory requirements</w:t>
      </w:r>
      <w:r w:rsidR="00EB0EC6">
        <w:rPr>
          <w:rFonts w:ascii="Century Gothic" w:hAnsi="Century Gothic"/>
        </w:rPr>
        <w:t xml:space="preserve">. Consideration needs to be given </w:t>
      </w:r>
      <w:r w:rsidR="0013372B">
        <w:rPr>
          <w:rFonts w:ascii="Century Gothic" w:hAnsi="Century Gothic"/>
        </w:rPr>
        <w:t xml:space="preserve">to </w:t>
      </w:r>
      <w:r w:rsidR="00EB0EC6">
        <w:rPr>
          <w:rFonts w:ascii="Century Gothic" w:hAnsi="Century Gothic"/>
        </w:rPr>
        <w:t>which Statutory Requirements</w:t>
      </w:r>
      <w:r w:rsidR="0013372B">
        <w:rPr>
          <w:rFonts w:ascii="Century Gothic" w:hAnsi="Century Gothic"/>
        </w:rPr>
        <w:t>,</w:t>
      </w:r>
      <w:r w:rsidR="00EB0EC6">
        <w:rPr>
          <w:rFonts w:ascii="Century Gothic" w:hAnsi="Century Gothic"/>
        </w:rPr>
        <w:t xml:space="preserve"> </w:t>
      </w:r>
      <w:r w:rsidR="007968A6">
        <w:rPr>
          <w:rFonts w:ascii="Century Gothic" w:hAnsi="Century Gothic"/>
        </w:rPr>
        <w:t xml:space="preserve">other </w:t>
      </w:r>
      <w:r w:rsidR="00EB0EC6">
        <w:rPr>
          <w:rFonts w:ascii="Century Gothic" w:hAnsi="Century Gothic"/>
        </w:rPr>
        <w:t>than the OHS</w:t>
      </w:r>
      <w:r w:rsidR="0013372B">
        <w:rPr>
          <w:rFonts w:ascii="Century Gothic" w:hAnsi="Century Gothic"/>
        </w:rPr>
        <w:t xml:space="preserve"> </w:t>
      </w:r>
      <w:r w:rsidR="00EB0EC6">
        <w:rPr>
          <w:rFonts w:ascii="Century Gothic" w:hAnsi="Century Gothic"/>
        </w:rPr>
        <w:t>Act</w:t>
      </w:r>
      <w:r w:rsidR="0013372B">
        <w:rPr>
          <w:rFonts w:ascii="Century Gothic" w:hAnsi="Century Gothic"/>
        </w:rPr>
        <w:t>,</w:t>
      </w:r>
      <w:r w:rsidR="00EB0EC6">
        <w:rPr>
          <w:rFonts w:ascii="Century Gothic" w:hAnsi="Century Gothic"/>
        </w:rPr>
        <w:t xml:space="preserve"> need</w:t>
      </w:r>
      <w:r w:rsidR="007968A6">
        <w:rPr>
          <w:rFonts w:ascii="Century Gothic" w:hAnsi="Century Gothic"/>
        </w:rPr>
        <w:t xml:space="preserve"> to be complied with. </w:t>
      </w:r>
    </w:p>
    <w:p w14:paraId="2FDC6D77" w14:textId="6C634EF6" w:rsidR="008624B8" w:rsidRDefault="004E626F" w:rsidP="00871EE8">
      <w:pPr>
        <w:pStyle w:val="ListParagraph"/>
        <w:numPr>
          <w:ilvl w:val="0"/>
          <w:numId w:val="40"/>
        </w:numPr>
        <w:spacing w:beforeLines="60" w:before="144" w:afterLines="60" w:after="144" w:line="240" w:lineRule="auto"/>
        <w:contextualSpacing w:val="0"/>
        <w:rPr>
          <w:rFonts w:ascii="Century Gothic" w:hAnsi="Century Gothic"/>
        </w:rPr>
      </w:pPr>
      <w:r>
        <w:rPr>
          <w:rFonts w:ascii="Century Gothic" w:hAnsi="Century Gothic"/>
        </w:rPr>
        <w:t xml:space="preserve">Compliance to the </w:t>
      </w:r>
      <w:r w:rsidR="001B17A0" w:rsidRPr="001B17A0">
        <w:rPr>
          <w:rFonts w:ascii="Century Gothic" w:hAnsi="Century Gothic"/>
        </w:rPr>
        <w:t>Occupational Health and Safety Act, No. 85 of 1993</w:t>
      </w:r>
      <w:r w:rsidR="001B17A0">
        <w:rPr>
          <w:rFonts w:ascii="Century Gothic" w:hAnsi="Century Gothic"/>
        </w:rPr>
        <w:t xml:space="preserve">. </w:t>
      </w:r>
    </w:p>
    <w:p w14:paraId="20F49790" w14:textId="04C8FDEA" w:rsidR="00DB0489" w:rsidRPr="009172FA" w:rsidRDefault="00DB0489" w:rsidP="00541C65">
      <w:pPr>
        <w:pStyle w:val="ListParagraph"/>
        <w:numPr>
          <w:ilvl w:val="0"/>
          <w:numId w:val="4"/>
        </w:numPr>
        <w:pBdr>
          <w:top w:val="nil"/>
          <w:left w:val="nil"/>
          <w:bottom w:val="nil"/>
          <w:right w:val="nil"/>
          <w:between w:val="nil"/>
        </w:pBdr>
        <w:spacing w:beforeLines="60" w:before="144" w:afterLines="60" w:after="144" w:line="240" w:lineRule="auto"/>
        <w:contextualSpacing w:val="0"/>
        <w:rPr>
          <w:rFonts w:ascii="Century Gothic" w:hAnsi="Century Gothic"/>
        </w:rPr>
      </w:pPr>
      <w:r w:rsidRPr="009172FA">
        <w:rPr>
          <w:rFonts w:ascii="Century Gothic" w:hAnsi="Century Gothic"/>
        </w:rPr>
        <w:t>Security</w:t>
      </w:r>
    </w:p>
    <w:p w14:paraId="20640EDB" w14:textId="77777777" w:rsidR="00A5703D" w:rsidRDefault="00DB0489" w:rsidP="009E17B0">
      <w:pPr>
        <w:spacing w:beforeLines="60" w:before="144" w:afterLines="60" w:after="144" w:line="240" w:lineRule="auto"/>
        <w:ind w:left="360"/>
        <w:rPr>
          <w:rFonts w:ascii="Century Gothic" w:hAnsi="Century Gothic"/>
        </w:rPr>
      </w:pPr>
      <w:r>
        <w:rPr>
          <w:rFonts w:ascii="Century Gothic" w:hAnsi="Century Gothic"/>
        </w:rPr>
        <w:t xml:space="preserve">The Municipality needs to consider which </w:t>
      </w:r>
      <w:r w:rsidR="003C023A">
        <w:rPr>
          <w:rFonts w:ascii="Century Gothic" w:hAnsi="Century Gothic"/>
        </w:rPr>
        <w:t xml:space="preserve">policies and </w:t>
      </w:r>
      <w:r w:rsidRPr="00DB0489">
        <w:rPr>
          <w:rFonts w:ascii="Century Gothic" w:hAnsi="Century Gothic"/>
        </w:rPr>
        <w:t xml:space="preserve">protocols </w:t>
      </w:r>
      <w:r w:rsidR="003C023A">
        <w:rPr>
          <w:rFonts w:ascii="Century Gothic" w:hAnsi="Century Gothic"/>
        </w:rPr>
        <w:t xml:space="preserve">needs to be developed or updated </w:t>
      </w:r>
      <w:r w:rsidR="00A5703D">
        <w:rPr>
          <w:rFonts w:ascii="Century Gothic" w:hAnsi="Century Gothic"/>
        </w:rPr>
        <w:t>regarding:</w:t>
      </w:r>
    </w:p>
    <w:p w14:paraId="7FC8FED7" w14:textId="77777777" w:rsidR="00044E74" w:rsidRDefault="00A5703D" w:rsidP="00871EE8">
      <w:pPr>
        <w:pStyle w:val="ListParagraph"/>
        <w:numPr>
          <w:ilvl w:val="0"/>
          <w:numId w:val="40"/>
        </w:numPr>
        <w:spacing w:beforeLines="60" w:before="144" w:afterLines="60" w:after="144" w:line="240" w:lineRule="auto"/>
        <w:contextualSpacing w:val="0"/>
        <w:rPr>
          <w:rFonts w:ascii="Century Gothic" w:hAnsi="Century Gothic"/>
        </w:rPr>
      </w:pPr>
      <w:r>
        <w:rPr>
          <w:rFonts w:ascii="Century Gothic" w:hAnsi="Century Gothic"/>
        </w:rPr>
        <w:t>E</w:t>
      </w:r>
      <w:r w:rsidR="00DB0489" w:rsidRPr="00DB0489">
        <w:rPr>
          <w:rFonts w:ascii="Century Gothic" w:hAnsi="Century Gothic"/>
        </w:rPr>
        <w:t xml:space="preserve">mergency response and </w:t>
      </w:r>
      <w:r w:rsidR="006F1623" w:rsidRPr="00DB0489">
        <w:rPr>
          <w:rFonts w:ascii="Century Gothic" w:hAnsi="Century Gothic"/>
        </w:rPr>
        <w:t xml:space="preserve">coordination </w:t>
      </w:r>
      <w:r w:rsidR="006440B9" w:rsidRPr="00DB0489">
        <w:rPr>
          <w:rFonts w:ascii="Century Gothic" w:hAnsi="Century Gothic"/>
        </w:rPr>
        <w:t>to protect the integrity of the distribution network</w:t>
      </w:r>
      <w:r w:rsidR="006440B9">
        <w:rPr>
          <w:rFonts w:ascii="Century Gothic" w:hAnsi="Century Gothic"/>
        </w:rPr>
        <w:t xml:space="preserve">. </w:t>
      </w:r>
    </w:p>
    <w:p w14:paraId="7A73FC5A" w14:textId="78DE4D75" w:rsidR="00DB0489" w:rsidRPr="00DB0489" w:rsidRDefault="00044E74" w:rsidP="00871EE8">
      <w:pPr>
        <w:pStyle w:val="ListParagraph"/>
        <w:numPr>
          <w:ilvl w:val="0"/>
          <w:numId w:val="40"/>
        </w:numPr>
        <w:spacing w:beforeLines="60" w:before="144" w:afterLines="60" w:after="144" w:line="240" w:lineRule="auto"/>
        <w:contextualSpacing w:val="0"/>
        <w:rPr>
          <w:rFonts w:ascii="Century Gothic" w:hAnsi="Century Gothic"/>
        </w:rPr>
      </w:pPr>
      <w:r>
        <w:rPr>
          <w:rFonts w:ascii="Century Gothic" w:hAnsi="Century Gothic"/>
        </w:rPr>
        <w:lastRenderedPageBreak/>
        <w:t>C</w:t>
      </w:r>
      <w:r w:rsidR="00DB0489" w:rsidRPr="00DB0489">
        <w:rPr>
          <w:rFonts w:ascii="Century Gothic" w:hAnsi="Century Gothic"/>
        </w:rPr>
        <w:t>ybersecurity measures and data exchange</w:t>
      </w:r>
      <w:r w:rsidR="00910D2B">
        <w:rPr>
          <w:rFonts w:ascii="Century Gothic" w:hAnsi="Century Gothic"/>
        </w:rPr>
        <w:t xml:space="preserve"> </w:t>
      </w:r>
      <w:r w:rsidR="000601B0">
        <w:rPr>
          <w:rFonts w:ascii="Century Gothic" w:hAnsi="Century Gothic"/>
        </w:rPr>
        <w:t xml:space="preserve">policies and protocols </w:t>
      </w:r>
      <w:r w:rsidR="00910D2B">
        <w:rPr>
          <w:rFonts w:ascii="Century Gothic" w:hAnsi="Century Gothic"/>
        </w:rPr>
        <w:t>need to be established</w:t>
      </w:r>
      <w:r w:rsidR="00DB0489" w:rsidRPr="00DB0489">
        <w:rPr>
          <w:rFonts w:ascii="Century Gothic" w:hAnsi="Century Gothic"/>
        </w:rPr>
        <w:t>.</w:t>
      </w:r>
    </w:p>
    <w:p w14:paraId="5F938F72" w14:textId="48EA5898" w:rsidR="00513285" w:rsidRPr="009172FA" w:rsidRDefault="008624B8" w:rsidP="00541C65">
      <w:pPr>
        <w:pStyle w:val="ListParagraph"/>
        <w:numPr>
          <w:ilvl w:val="0"/>
          <w:numId w:val="4"/>
        </w:numPr>
        <w:pBdr>
          <w:top w:val="nil"/>
          <w:left w:val="nil"/>
          <w:bottom w:val="nil"/>
          <w:right w:val="nil"/>
          <w:between w:val="nil"/>
        </w:pBdr>
        <w:spacing w:beforeLines="60" w:before="144" w:afterLines="60" w:after="144" w:line="240" w:lineRule="auto"/>
        <w:contextualSpacing w:val="0"/>
        <w:rPr>
          <w:rFonts w:ascii="Century Gothic" w:hAnsi="Century Gothic"/>
        </w:rPr>
      </w:pPr>
      <w:r w:rsidRPr="009172FA">
        <w:rPr>
          <w:rFonts w:ascii="Century Gothic" w:hAnsi="Century Gothic"/>
        </w:rPr>
        <w:t>Legal and Regulatory</w:t>
      </w:r>
    </w:p>
    <w:p w14:paraId="36603F87" w14:textId="0C594491" w:rsidR="008624B8" w:rsidRPr="00DC5656" w:rsidRDefault="0060408A" w:rsidP="009E17B0">
      <w:pPr>
        <w:spacing w:beforeLines="60" w:before="144" w:afterLines="60" w:after="144" w:line="240" w:lineRule="auto"/>
        <w:ind w:left="360"/>
        <w:rPr>
          <w:rFonts w:ascii="Century Gothic" w:hAnsi="Century Gothic"/>
        </w:rPr>
      </w:pPr>
      <w:r w:rsidRPr="00DC5656">
        <w:rPr>
          <w:rFonts w:ascii="Century Gothic" w:hAnsi="Century Gothic"/>
        </w:rPr>
        <w:t xml:space="preserve">The municipality must ensure that </w:t>
      </w:r>
      <w:r w:rsidR="003D5E01">
        <w:rPr>
          <w:rFonts w:ascii="Century Gothic" w:hAnsi="Century Gothic"/>
        </w:rPr>
        <w:t>all</w:t>
      </w:r>
      <w:r w:rsidRPr="00DC5656">
        <w:rPr>
          <w:rFonts w:ascii="Century Gothic" w:hAnsi="Century Gothic"/>
        </w:rPr>
        <w:t xml:space="preserve"> relevant South African </w:t>
      </w:r>
      <w:r w:rsidR="003D5E01">
        <w:rPr>
          <w:rFonts w:ascii="Century Gothic" w:hAnsi="Century Gothic"/>
        </w:rPr>
        <w:t>Statutory Requirements are adhered to</w:t>
      </w:r>
      <w:r w:rsidRPr="00DC5656">
        <w:rPr>
          <w:rFonts w:ascii="Century Gothic" w:hAnsi="Century Gothic"/>
        </w:rPr>
        <w:t>.</w:t>
      </w:r>
      <w:r w:rsidR="0084579F">
        <w:rPr>
          <w:rFonts w:ascii="Century Gothic" w:hAnsi="Century Gothic"/>
        </w:rPr>
        <w:t xml:space="preserve"> </w:t>
      </w:r>
      <w:r w:rsidR="003D5E01">
        <w:rPr>
          <w:rFonts w:ascii="Century Gothic" w:hAnsi="Century Gothic"/>
        </w:rPr>
        <w:t>To this extent, t</w:t>
      </w:r>
      <w:r w:rsidR="009648A8" w:rsidRPr="009648A8">
        <w:rPr>
          <w:rFonts w:ascii="Century Gothic" w:hAnsi="Century Gothic"/>
        </w:rPr>
        <w:t>he generator must meet all the SA Grid Code requirements before injecting energy into the South African power system, including technical, legal and contractual requirements.</w:t>
      </w:r>
      <w:r w:rsidR="00070944">
        <w:rPr>
          <w:rFonts w:ascii="Century Gothic" w:hAnsi="Century Gothic"/>
        </w:rPr>
        <w:t xml:space="preserve"> </w:t>
      </w:r>
      <w:r w:rsidR="00A21E26">
        <w:rPr>
          <w:rFonts w:ascii="Century Gothic" w:hAnsi="Century Gothic"/>
        </w:rPr>
        <w:t xml:space="preserve">The following </w:t>
      </w:r>
      <w:r w:rsidR="00F624B3">
        <w:rPr>
          <w:rFonts w:ascii="Century Gothic" w:hAnsi="Century Gothic"/>
        </w:rPr>
        <w:t>S</w:t>
      </w:r>
      <w:r w:rsidR="00FE4C9A">
        <w:rPr>
          <w:rFonts w:ascii="Century Gothic" w:hAnsi="Century Gothic"/>
        </w:rPr>
        <w:t xml:space="preserve">tatutory </w:t>
      </w:r>
      <w:r w:rsidR="00F624B3">
        <w:rPr>
          <w:rFonts w:ascii="Century Gothic" w:hAnsi="Century Gothic"/>
        </w:rPr>
        <w:t>R</w:t>
      </w:r>
      <w:r w:rsidR="00FE4C9A">
        <w:rPr>
          <w:rFonts w:ascii="Century Gothic" w:hAnsi="Century Gothic"/>
        </w:rPr>
        <w:t xml:space="preserve">equirements </w:t>
      </w:r>
      <w:r w:rsidR="0048319D">
        <w:rPr>
          <w:rFonts w:ascii="Century Gothic" w:hAnsi="Century Gothic"/>
        </w:rPr>
        <w:t>are applicable:</w:t>
      </w:r>
    </w:p>
    <w:p w14:paraId="098E7B55" w14:textId="63B18C73" w:rsidR="008624B8" w:rsidRPr="00DC5656" w:rsidRDefault="008624B8" w:rsidP="00871EE8">
      <w:pPr>
        <w:pStyle w:val="ListParagraph"/>
        <w:numPr>
          <w:ilvl w:val="0"/>
          <w:numId w:val="40"/>
        </w:numPr>
        <w:spacing w:beforeLines="60" w:before="144" w:afterLines="60" w:after="144" w:line="240" w:lineRule="auto"/>
        <w:contextualSpacing w:val="0"/>
        <w:rPr>
          <w:rFonts w:ascii="Century Gothic" w:hAnsi="Century Gothic"/>
        </w:rPr>
      </w:pPr>
      <w:r w:rsidRPr="00DC5656">
        <w:rPr>
          <w:rFonts w:ascii="Century Gothic" w:hAnsi="Century Gothic"/>
        </w:rPr>
        <w:t>Electricity Pricing Policy</w:t>
      </w:r>
      <w:r w:rsidR="005A7AE5" w:rsidRPr="00DC5656">
        <w:rPr>
          <w:rFonts w:ascii="Century Gothic" w:hAnsi="Century Gothic"/>
        </w:rPr>
        <w:t xml:space="preserve"> (EPP)</w:t>
      </w:r>
    </w:p>
    <w:p w14:paraId="3A1E1A56" w14:textId="1BF0B1FB" w:rsidR="008624B8" w:rsidRPr="00DC5656" w:rsidRDefault="008624B8" w:rsidP="00871EE8">
      <w:pPr>
        <w:pStyle w:val="ListParagraph"/>
        <w:numPr>
          <w:ilvl w:val="0"/>
          <w:numId w:val="40"/>
        </w:numPr>
        <w:spacing w:beforeLines="60" w:before="144" w:afterLines="60" w:after="144" w:line="240" w:lineRule="auto"/>
        <w:contextualSpacing w:val="0"/>
        <w:rPr>
          <w:rFonts w:ascii="Century Gothic" w:hAnsi="Century Gothic"/>
        </w:rPr>
      </w:pPr>
      <w:r w:rsidRPr="00DC5656">
        <w:rPr>
          <w:rFonts w:ascii="Century Gothic" w:hAnsi="Century Gothic"/>
        </w:rPr>
        <w:t>Electricity Regulation Act</w:t>
      </w:r>
      <w:r w:rsidR="005A7AE5" w:rsidRPr="00DC5656">
        <w:rPr>
          <w:rFonts w:ascii="Century Gothic" w:hAnsi="Century Gothic"/>
        </w:rPr>
        <w:t xml:space="preserve"> (ERA)</w:t>
      </w:r>
    </w:p>
    <w:p w14:paraId="2FE52066" w14:textId="3112B166" w:rsidR="008624B8" w:rsidRPr="00DC5656" w:rsidRDefault="008624B8" w:rsidP="00871EE8">
      <w:pPr>
        <w:pStyle w:val="ListParagraph"/>
        <w:numPr>
          <w:ilvl w:val="0"/>
          <w:numId w:val="40"/>
        </w:numPr>
        <w:spacing w:beforeLines="60" w:before="144" w:afterLines="60" w:after="144" w:line="240" w:lineRule="auto"/>
        <w:contextualSpacing w:val="0"/>
        <w:rPr>
          <w:rFonts w:ascii="Century Gothic" w:hAnsi="Century Gothic"/>
        </w:rPr>
      </w:pPr>
      <w:r w:rsidRPr="00DC5656">
        <w:rPr>
          <w:rFonts w:ascii="Century Gothic" w:hAnsi="Century Gothic"/>
        </w:rPr>
        <w:t>National Energy Regulator Act</w:t>
      </w:r>
      <w:r w:rsidR="005A7AE5" w:rsidRPr="00DC5656">
        <w:rPr>
          <w:rFonts w:ascii="Century Gothic" w:hAnsi="Century Gothic"/>
        </w:rPr>
        <w:t xml:space="preserve"> </w:t>
      </w:r>
      <w:r w:rsidR="00D735C8" w:rsidRPr="00DC5656">
        <w:rPr>
          <w:rFonts w:ascii="Century Gothic" w:hAnsi="Century Gothic"/>
        </w:rPr>
        <w:t>(NERSA Act)</w:t>
      </w:r>
    </w:p>
    <w:p w14:paraId="0418A3A7" w14:textId="73C67B73" w:rsidR="008624B8" w:rsidRPr="00DC5656" w:rsidRDefault="008624B8" w:rsidP="00871EE8">
      <w:pPr>
        <w:pStyle w:val="ListParagraph"/>
        <w:numPr>
          <w:ilvl w:val="0"/>
          <w:numId w:val="40"/>
        </w:numPr>
        <w:spacing w:beforeLines="60" w:before="144" w:afterLines="60" w:after="144" w:line="240" w:lineRule="auto"/>
        <w:contextualSpacing w:val="0"/>
        <w:rPr>
          <w:rFonts w:ascii="Century Gothic" w:hAnsi="Century Gothic"/>
        </w:rPr>
      </w:pPr>
      <w:r w:rsidRPr="00DC5656">
        <w:rPr>
          <w:rFonts w:ascii="Century Gothic" w:hAnsi="Century Gothic"/>
        </w:rPr>
        <w:t>Local Government (Municipal Systems) Act</w:t>
      </w:r>
      <w:r w:rsidR="00D735C8" w:rsidRPr="00DC5656">
        <w:rPr>
          <w:rFonts w:ascii="Century Gothic" w:hAnsi="Century Gothic"/>
        </w:rPr>
        <w:t xml:space="preserve"> (Systems Act)</w:t>
      </w:r>
    </w:p>
    <w:p w14:paraId="404AF2CB" w14:textId="655D5324" w:rsidR="008624B8" w:rsidRPr="00DC5656" w:rsidRDefault="008624B8" w:rsidP="00871EE8">
      <w:pPr>
        <w:pStyle w:val="ListParagraph"/>
        <w:numPr>
          <w:ilvl w:val="0"/>
          <w:numId w:val="40"/>
        </w:numPr>
        <w:spacing w:beforeLines="60" w:before="144" w:afterLines="60" w:after="144" w:line="240" w:lineRule="auto"/>
        <w:contextualSpacing w:val="0"/>
        <w:rPr>
          <w:rFonts w:ascii="Century Gothic" w:hAnsi="Century Gothic"/>
        </w:rPr>
      </w:pPr>
      <w:r w:rsidRPr="00DC5656">
        <w:rPr>
          <w:rFonts w:ascii="Century Gothic" w:hAnsi="Century Gothic"/>
        </w:rPr>
        <w:t>Municipal Fiscal Powers and Functions Act</w:t>
      </w:r>
      <w:r w:rsidR="00D735C8" w:rsidRPr="00DC5656">
        <w:rPr>
          <w:rFonts w:ascii="Century Gothic" w:hAnsi="Century Gothic"/>
        </w:rPr>
        <w:t xml:space="preserve"> (</w:t>
      </w:r>
      <w:r w:rsidR="000A4A50" w:rsidRPr="00DC5656">
        <w:rPr>
          <w:rFonts w:ascii="Century Gothic" w:hAnsi="Century Gothic"/>
        </w:rPr>
        <w:t>MFPFA</w:t>
      </w:r>
      <w:r w:rsidR="00D735C8" w:rsidRPr="00DC5656">
        <w:rPr>
          <w:rFonts w:ascii="Century Gothic" w:hAnsi="Century Gothic"/>
        </w:rPr>
        <w:t>)</w:t>
      </w:r>
    </w:p>
    <w:p w14:paraId="0D3CEFED" w14:textId="1840E88B" w:rsidR="00DE17B3" w:rsidRDefault="00B25AE5" w:rsidP="00871EE8">
      <w:pPr>
        <w:pStyle w:val="ListParagraph"/>
        <w:numPr>
          <w:ilvl w:val="0"/>
          <w:numId w:val="40"/>
        </w:numPr>
        <w:spacing w:beforeLines="60" w:before="144" w:afterLines="60" w:after="144" w:line="240" w:lineRule="auto"/>
        <w:contextualSpacing w:val="0"/>
        <w:rPr>
          <w:rFonts w:ascii="Century Gothic" w:hAnsi="Century Gothic"/>
        </w:rPr>
      </w:pPr>
      <w:r w:rsidRPr="00DC5656">
        <w:rPr>
          <w:rFonts w:ascii="Century Gothic" w:hAnsi="Century Gothic"/>
        </w:rPr>
        <w:t>Municipal bylaws and policies</w:t>
      </w:r>
      <w:r w:rsidR="000601B0">
        <w:rPr>
          <w:rFonts w:ascii="Century Gothic" w:hAnsi="Century Gothic"/>
        </w:rPr>
        <w:t>:</w:t>
      </w:r>
      <w:r w:rsidRPr="00DC5656">
        <w:rPr>
          <w:rFonts w:ascii="Century Gothic" w:hAnsi="Century Gothic"/>
        </w:rPr>
        <w:t xml:space="preserve"> The municipality may need to develop or update its municipal bylaws and policies to accommodate the wheeling of electricity. These bylaws should align with the national regulations and support the implementation of wheeling arrangements.</w:t>
      </w:r>
    </w:p>
    <w:p w14:paraId="7E8016F0" w14:textId="6E071F89" w:rsidR="00DE17B3" w:rsidRPr="00DE17B3" w:rsidRDefault="00DE17B3" w:rsidP="00871EE8">
      <w:pPr>
        <w:pStyle w:val="ListParagraph"/>
        <w:numPr>
          <w:ilvl w:val="0"/>
          <w:numId w:val="40"/>
        </w:numPr>
        <w:spacing w:beforeLines="60" w:before="144" w:afterLines="60" w:after="144" w:line="240" w:lineRule="auto"/>
        <w:contextualSpacing w:val="0"/>
        <w:rPr>
          <w:rFonts w:ascii="Century Gothic" w:hAnsi="Century Gothic"/>
        </w:rPr>
      </w:pPr>
      <w:r>
        <w:rPr>
          <w:rFonts w:ascii="Century Gothic" w:hAnsi="Century Gothic"/>
        </w:rPr>
        <w:t xml:space="preserve">National Third Party Wheeling </w:t>
      </w:r>
      <w:r w:rsidR="00B4375D">
        <w:rPr>
          <w:rFonts w:ascii="Century Gothic" w:hAnsi="Century Gothic"/>
        </w:rPr>
        <w:t>Framework (when approved).</w:t>
      </w:r>
    </w:p>
    <w:p w14:paraId="7A79CCAF" w14:textId="4FF0B6C5" w:rsidR="00513285" w:rsidRPr="009172FA" w:rsidRDefault="00047DEA" w:rsidP="00541C65">
      <w:pPr>
        <w:pStyle w:val="ListParagraph"/>
        <w:numPr>
          <w:ilvl w:val="0"/>
          <w:numId w:val="4"/>
        </w:numPr>
        <w:pBdr>
          <w:top w:val="nil"/>
          <w:left w:val="nil"/>
          <w:bottom w:val="nil"/>
          <w:right w:val="nil"/>
          <w:between w:val="nil"/>
        </w:pBdr>
        <w:spacing w:beforeLines="60" w:before="144" w:afterLines="60" w:after="144" w:line="240" w:lineRule="auto"/>
        <w:contextualSpacing w:val="0"/>
        <w:rPr>
          <w:rFonts w:ascii="Century Gothic" w:hAnsi="Century Gothic"/>
        </w:rPr>
      </w:pPr>
      <w:r w:rsidRPr="009172FA">
        <w:rPr>
          <w:rFonts w:ascii="Century Gothic" w:hAnsi="Century Gothic"/>
        </w:rPr>
        <w:t>Tariff Construction</w:t>
      </w:r>
    </w:p>
    <w:p w14:paraId="14DBB2D6" w14:textId="4CB94430" w:rsidR="00047DEA" w:rsidRPr="00DC5656" w:rsidRDefault="00A57E8E" w:rsidP="009E17B0">
      <w:pPr>
        <w:spacing w:beforeLines="60" w:before="144" w:afterLines="60" w:after="144" w:line="240" w:lineRule="auto"/>
        <w:ind w:left="360"/>
        <w:rPr>
          <w:rFonts w:ascii="Century Gothic" w:hAnsi="Century Gothic"/>
        </w:rPr>
      </w:pPr>
      <w:r w:rsidRPr="00DC5656">
        <w:rPr>
          <w:rFonts w:ascii="Century Gothic" w:hAnsi="Century Gothic"/>
        </w:rPr>
        <w:t>The municipality should establish transparent and fair wheeling charges and tariffs in line with NERSA's guidelines. The tariffs should consider factors such as the cost of network use, infrastructure maintenance, and administrative expenses, while promoting efficiency and competitiveness in the electricity market.</w:t>
      </w:r>
    </w:p>
    <w:p w14:paraId="179D7582" w14:textId="3339EA37" w:rsidR="00047DEA" w:rsidRPr="00DC5656" w:rsidRDefault="00B4375D" w:rsidP="00871EE8">
      <w:pPr>
        <w:pStyle w:val="ListParagraph"/>
        <w:numPr>
          <w:ilvl w:val="0"/>
          <w:numId w:val="40"/>
        </w:numPr>
        <w:spacing w:beforeLines="60" w:before="144" w:afterLines="60" w:after="144" w:line="240" w:lineRule="auto"/>
        <w:contextualSpacing w:val="0"/>
        <w:rPr>
          <w:rFonts w:ascii="Century Gothic" w:hAnsi="Century Gothic"/>
        </w:rPr>
      </w:pPr>
      <w:r>
        <w:rPr>
          <w:rFonts w:ascii="Century Gothic" w:hAnsi="Century Gothic"/>
        </w:rPr>
        <w:t>Guiding and</w:t>
      </w:r>
      <w:r w:rsidR="00DE780A" w:rsidRPr="00DC5656">
        <w:rPr>
          <w:rFonts w:ascii="Century Gothic" w:hAnsi="Century Gothic"/>
        </w:rPr>
        <w:t xml:space="preserve"> </w:t>
      </w:r>
      <w:r>
        <w:rPr>
          <w:rFonts w:ascii="Century Gothic" w:hAnsi="Century Gothic"/>
        </w:rPr>
        <w:t>a</w:t>
      </w:r>
      <w:r w:rsidR="00DE780A" w:rsidRPr="00DC5656">
        <w:rPr>
          <w:rFonts w:ascii="Century Gothic" w:hAnsi="Century Gothic"/>
        </w:rPr>
        <w:t xml:space="preserve">pproval of </w:t>
      </w:r>
      <w:r>
        <w:rPr>
          <w:rFonts w:ascii="Century Gothic" w:hAnsi="Century Gothic"/>
        </w:rPr>
        <w:t>t</w:t>
      </w:r>
      <w:r w:rsidR="00FD3774" w:rsidRPr="00DC5656">
        <w:rPr>
          <w:rFonts w:ascii="Century Gothic" w:hAnsi="Century Gothic"/>
        </w:rPr>
        <w:t xml:space="preserve">ariffs </w:t>
      </w:r>
      <w:r w:rsidR="0021239E" w:rsidRPr="00DC5656">
        <w:rPr>
          <w:rFonts w:ascii="Century Gothic" w:hAnsi="Century Gothic"/>
        </w:rPr>
        <w:t>by NERSA</w:t>
      </w:r>
    </w:p>
    <w:p w14:paraId="14438D2E" w14:textId="1DBEAFF3" w:rsidR="004B2F9D" w:rsidRPr="00DC5656" w:rsidRDefault="004B2F9D" w:rsidP="00871EE8">
      <w:pPr>
        <w:pStyle w:val="ListParagraph"/>
        <w:numPr>
          <w:ilvl w:val="0"/>
          <w:numId w:val="40"/>
        </w:numPr>
        <w:spacing w:beforeLines="60" w:before="144" w:afterLines="60" w:after="144" w:line="240" w:lineRule="auto"/>
        <w:contextualSpacing w:val="0"/>
        <w:rPr>
          <w:rFonts w:ascii="Century Gothic" w:hAnsi="Century Gothic"/>
        </w:rPr>
      </w:pPr>
      <w:r w:rsidRPr="00DC5656">
        <w:rPr>
          <w:rFonts w:ascii="Century Gothic" w:hAnsi="Century Gothic"/>
        </w:rPr>
        <w:t xml:space="preserve">Municipal tariff </w:t>
      </w:r>
      <w:r w:rsidR="00B4375D">
        <w:rPr>
          <w:rFonts w:ascii="Century Gothic" w:hAnsi="Century Gothic"/>
        </w:rPr>
        <w:t>design</w:t>
      </w:r>
    </w:p>
    <w:p w14:paraId="35F3A253" w14:textId="2ED9C48F" w:rsidR="004B2F9D" w:rsidRPr="00DC5656" w:rsidRDefault="00D64FAF" w:rsidP="00871EE8">
      <w:pPr>
        <w:pStyle w:val="ListParagraph"/>
        <w:numPr>
          <w:ilvl w:val="0"/>
          <w:numId w:val="40"/>
        </w:numPr>
        <w:spacing w:beforeLines="60" w:before="144" w:afterLines="60" w:after="144" w:line="240" w:lineRule="auto"/>
        <w:contextualSpacing w:val="0"/>
        <w:rPr>
          <w:rFonts w:ascii="Century Gothic" w:hAnsi="Century Gothic"/>
        </w:rPr>
      </w:pPr>
      <w:r w:rsidRPr="00DC5656">
        <w:rPr>
          <w:rFonts w:ascii="Century Gothic" w:hAnsi="Century Gothic"/>
        </w:rPr>
        <w:t>NERSA cost of supply framework</w:t>
      </w:r>
    </w:p>
    <w:p w14:paraId="53629965" w14:textId="1617C980" w:rsidR="00D64FAF" w:rsidRDefault="00E704E1" w:rsidP="00871EE8">
      <w:pPr>
        <w:pStyle w:val="ListParagraph"/>
        <w:numPr>
          <w:ilvl w:val="0"/>
          <w:numId w:val="40"/>
        </w:numPr>
        <w:spacing w:beforeLines="60" w:before="144" w:afterLines="60" w:after="144" w:line="240" w:lineRule="auto"/>
        <w:contextualSpacing w:val="0"/>
        <w:rPr>
          <w:rFonts w:ascii="Century Gothic" w:hAnsi="Century Gothic"/>
        </w:rPr>
      </w:pPr>
      <w:r w:rsidRPr="00DC5656">
        <w:rPr>
          <w:rFonts w:ascii="Century Gothic" w:hAnsi="Century Gothic"/>
        </w:rPr>
        <w:t>NRS 058</w:t>
      </w:r>
      <w:r w:rsidR="00E44BA7" w:rsidRPr="00DC5656">
        <w:rPr>
          <w:rFonts w:ascii="Century Gothic" w:hAnsi="Century Gothic"/>
        </w:rPr>
        <w:t xml:space="preserve"> (</w:t>
      </w:r>
      <w:r w:rsidR="0010258F" w:rsidRPr="00DC5656">
        <w:rPr>
          <w:rFonts w:ascii="Century Gothic" w:hAnsi="Century Gothic"/>
        </w:rPr>
        <w:t>Draft</w:t>
      </w:r>
      <w:r w:rsidR="00E44BA7" w:rsidRPr="00DC5656">
        <w:rPr>
          <w:rFonts w:ascii="Century Gothic" w:hAnsi="Century Gothic"/>
        </w:rPr>
        <w:t>)</w:t>
      </w:r>
    </w:p>
    <w:p w14:paraId="6965EB56" w14:textId="0662120C" w:rsidR="00F97AA7" w:rsidRPr="009172FA" w:rsidRDefault="00F97AA7" w:rsidP="00541C65">
      <w:pPr>
        <w:pStyle w:val="ListParagraph"/>
        <w:numPr>
          <w:ilvl w:val="0"/>
          <w:numId w:val="4"/>
        </w:numPr>
        <w:pBdr>
          <w:top w:val="nil"/>
          <w:left w:val="nil"/>
          <w:bottom w:val="nil"/>
          <w:right w:val="nil"/>
          <w:between w:val="nil"/>
        </w:pBdr>
        <w:spacing w:beforeLines="60" w:before="144" w:afterLines="60" w:after="144" w:line="240" w:lineRule="auto"/>
        <w:contextualSpacing w:val="0"/>
        <w:rPr>
          <w:rFonts w:ascii="Century Gothic" w:hAnsi="Century Gothic"/>
        </w:rPr>
      </w:pPr>
      <w:r w:rsidRPr="009172FA">
        <w:rPr>
          <w:rFonts w:ascii="Century Gothic" w:hAnsi="Century Gothic"/>
        </w:rPr>
        <w:t>Tariff Application</w:t>
      </w:r>
    </w:p>
    <w:p w14:paraId="6FB1BB9C" w14:textId="42C76EBE" w:rsidR="00F97AA7" w:rsidRDefault="00F97AA7" w:rsidP="009E17B0">
      <w:pPr>
        <w:spacing w:beforeLines="60" w:before="144" w:afterLines="60" w:after="144" w:line="240" w:lineRule="auto"/>
        <w:ind w:left="360"/>
        <w:rPr>
          <w:rFonts w:ascii="Century Gothic" w:hAnsi="Century Gothic"/>
        </w:rPr>
      </w:pPr>
      <w:r>
        <w:rPr>
          <w:rFonts w:ascii="Century Gothic" w:hAnsi="Century Gothic"/>
        </w:rPr>
        <w:t xml:space="preserve">The Municipality needs to consider </w:t>
      </w:r>
      <w:r w:rsidR="006D4E6E">
        <w:rPr>
          <w:rFonts w:ascii="Century Gothic" w:hAnsi="Century Gothic"/>
        </w:rPr>
        <w:t>the following</w:t>
      </w:r>
      <w:r>
        <w:rPr>
          <w:rFonts w:ascii="Century Gothic" w:hAnsi="Century Gothic"/>
        </w:rPr>
        <w:t>:</w:t>
      </w:r>
    </w:p>
    <w:p w14:paraId="00A7C059" w14:textId="77414E0C" w:rsidR="00F97AA7" w:rsidRDefault="00F97AA7" w:rsidP="00871EE8">
      <w:pPr>
        <w:pStyle w:val="ListParagraph"/>
        <w:numPr>
          <w:ilvl w:val="0"/>
          <w:numId w:val="40"/>
        </w:numPr>
        <w:spacing w:beforeLines="60" w:before="144" w:afterLines="60" w:after="144" w:line="240" w:lineRule="auto"/>
        <w:contextualSpacing w:val="0"/>
        <w:rPr>
          <w:rFonts w:ascii="Century Gothic" w:hAnsi="Century Gothic"/>
        </w:rPr>
      </w:pPr>
      <w:r>
        <w:rPr>
          <w:rFonts w:ascii="Century Gothic" w:hAnsi="Century Gothic"/>
        </w:rPr>
        <w:t xml:space="preserve">Any changes to the applied tariff of the </w:t>
      </w:r>
      <w:r w:rsidR="00FB5506">
        <w:rPr>
          <w:rFonts w:ascii="Century Gothic" w:hAnsi="Century Gothic"/>
        </w:rPr>
        <w:t>off-taker</w:t>
      </w:r>
      <w:r>
        <w:rPr>
          <w:rFonts w:ascii="Century Gothic" w:hAnsi="Century Gothic"/>
        </w:rPr>
        <w:t xml:space="preserve"> after the onset of the wheeling agreement must be </w:t>
      </w:r>
      <w:r w:rsidR="000601B0">
        <w:rPr>
          <w:rFonts w:ascii="Century Gothic" w:hAnsi="Century Gothic"/>
        </w:rPr>
        <w:t>e</w:t>
      </w:r>
      <w:r>
        <w:rPr>
          <w:rFonts w:ascii="Century Gothic" w:hAnsi="Century Gothic"/>
        </w:rPr>
        <w:t>ffected</w:t>
      </w:r>
      <w:r w:rsidR="000601B0">
        <w:rPr>
          <w:rFonts w:ascii="Century Gothic" w:hAnsi="Century Gothic"/>
        </w:rPr>
        <w:t>.</w:t>
      </w:r>
    </w:p>
    <w:p w14:paraId="17280FC9" w14:textId="7A4DB83C" w:rsidR="00FB3808" w:rsidRDefault="00FB3808" w:rsidP="00871EE8">
      <w:pPr>
        <w:pStyle w:val="ListParagraph"/>
        <w:numPr>
          <w:ilvl w:val="0"/>
          <w:numId w:val="40"/>
        </w:numPr>
        <w:spacing w:beforeLines="60" w:before="144" w:afterLines="60" w:after="144" w:line="240" w:lineRule="auto"/>
        <w:contextualSpacing w:val="0"/>
        <w:rPr>
          <w:rFonts w:ascii="Century Gothic" w:hAnsi="Century Gothic"/>
        </w:rPr>
      </w:pPr>
      <w:r w:rsidRPr="006D4E6E">
        <w:rPr>
          <w:rFonts w:ascii="Century Gothic" w:hAnsi="Century Gothic"/>
        </w:rPr>
        <w:t xml:space="preserve">The tariff will be </w:t>
      </w:r>
      <w:r w:rsidR="00203412">
        <w:rPr>
          <w:rFonts w:ascii="Century Gothic" w:hAnsi="Century Gothic"/>
        </w:rPr>
        <w:t xml:space="preserve">revenue </w:t>
      </w:r>
      <w:r w:rsidRPr="006D4E6E">
        <w:rPr>
          <w:rFonts w:ascii="Century Gothic" w:hAnsi="Century Gothic"/>
        </w:rPr>
        <w:t>neutral for the municipality</w:t>
      </w:r>
      <w:r w:rsidR="000601B0">
        <w:rPr>
          <w:rFonts w:ascii="Century Gothic" w:hAnsi="Century Gothic"/>
        </w:rPr>
        <w:t xml:space="preserve"> (i.e. the municipality will not lose any revenue through wheeling)</w:t>
      </w:r>
      <w:r w:rsidRPr="006D4E6E">
        <w:rPr>
          <w:rFonts w:ascii="Century Gothic" w:hAnsi="Century Gothic"/>
        </w:rPr>
        <w:t xml:space="preserve">. Any additional charges for wheeling added by Eskom to the municipality’s account will be for the </w:t>
      </w:r>
      <w:r w:rsidR="007E03E0">
        <w:rPr>
          <w:rFonts w:ascii="Century Gothic" w:hAnsi="Century Gothic"/>
        </w:rPr>
        <w:t>off-taker</w:t>
      </w:r>
      <w:r w:rsidRPr="006D4E6E">
        <w:rPr>
          <w:rFonts w:ascii="Century Gothic" w:hAnsi="Century Gothic"/>
        </w:rPr>
        <w:t>s account.</w:t>
      </w:r>
    </w:p>
    <w:p w14:paraId="3ECFF35F" w14:textId="66E97559" w:rsidR="00513285" w:rsidRPr="009172FA" w:rsidRDefault="008624B8" w:rsidP="00541C65">
      <w:pPr>
        <w:pStyle w:val="ListParagraph"/>
        <w:numPr>
          <w:ilvl w:val="0"/>
          <w:numId w:val="4"/>
        </w:numPr>
        <w:pBdr>
          <w:top w:val="nil"/>
          <w:left w:val="nil"/>
          <w:bottom w:val="nil"/>
          <w:right w:val="nil"/>
          <w:between w:val="nil"/>
        </w:pBdr>
        <w:spacing w:beforeLines="60" w:before="144" w:afterLines="60" w:after="144" w:line="240" w:lineRule="auto"/>
        <w:contextualSpacing w:val="0"/>
        <w:rPr>
          <w:rFonts w:ascii="Century Gothic" w:hAnsi="Century Gothic"/>
        </w:rPr>
      </w:pPr>
      <w:r w:rsidRPr="009172FA">
        <w:rPr>
          <w:rFonts w:ascii="Century Gothic" w:hAnsi="Century Gothic"/>
        </w:rPr>
        <w:t>Infrastructure</w:t>
      </w:r>
    </w:p>
    <w:p w14:paraId="16512745" w14:textId="2BFFEC77" w:rsidR="008624B8" w:rsidRPr="00DC5656" w:rsidRDefault="00040899" w:rsidP="009E17B0">
      <w:pPr>
        <w:spacing w:beforeLines="60" w:before="144" w:afterLines="60" w:after="144" w:line="240" w:lineRule="auto"/>
        <w:ind w:left="360"/>
        <w:rPr>
          <w:rFonts w:ascii="Century Gothic" w:hAnsi="Century Gothic"/>
        </w:rPr>
      </w:pPr>
      <w:r w:rsidRPr="00DC5656">
        <w:rPr>
          <w:rFonts w:ascii="Century Gothic" w:hAnsi="Century Gothic"/>
        </w:rPr>
        <w:t xml:space="preserve">The municipality needs to consider the </w:t>
      </w:r>
      <w:r w:rsidR="007740E9" w:rsidRPr="00DC5656">
        <w:rPr>
          <w:rFonts w:ascii="Century Gothic" w:hAnsi="Century Gothic"/>
        </w:rPr>
        <w:t xml:space="preserve">generator connection allowances </w:t>
      </w:r>
      <w:r w:rsidR="00E02D33" w:rsidRPr="00DC5656">
        <w:rPr>
          <w:rFonts w:ascii="Century Gothic" w:hAnsi="Century Gothic"/>
        </w:rPr>
        <w:t xml:space="preserve">with due consideration of the </w:t>
      </w:r>
      <w:r w:rsidR="00164EE5" w:rsidRPr="00DC5656">
        <w:rPr>
          <w:rFonts w:ascii="Century Gothic" w:hAnsi="Century Gothic"/>
        </w:rPr>
        <w:t xml:space="preserve">characteristics of the existing electricity </w:t>
      </w:r>
      <w:r w:rsidR="00D05EB6" w:rsidRPr="00DC5656">
        <w:rPr>
          <w:rFonts w:ascii="Century Gothic" w:hAnsi="Century Gothic"/>
        </w:rPr>
        <w:t>reticulation network</w:t>
      </w:r>
      <w:r w:rsidR="000D68C5" w:rsidRPr="00DC5656">
        <w:rPr>
          <w:rFonts w:ascii="Century Gothic" w:hAnsi="Century Gothic"/>
        </w:rPr>
        <w:t xml:space="preserve"> as follows:</w:t>
      </w:r>
    </w:p>
    <w:p w14:paraId="106A709C" w14:textId="1F5C11DB" w:rsidR="000D68C5" w:rsidRPr="00DC5656" w:rsidRDefault="00E773B5" w:rsidP="00871EE8">
      <w:pPr>
        <w:pStyle w:val="ListParagraph"/>
        <w:numPr>
          <w:ilvl w:val="0"/>
          <w:numId w:val="40"/>
        </w:numPr>
        <w:spacing w:beforeLines="60" w:before="144" w:afterLines="60" w:after="144" w:line="240" w:lineRule="auto"/>
        <w:contextualSpacing w:val="0"/>
        <w:rPr>
          <w:rFonts w:ascii="Century Gothic" w:hAnsi="Century Gothic"/>
        </w:rPr>
      </w:pPr>
      <w:r w:rsidRPr="00DC5656">
        <w:rPr>
          <w:rFonts w:ascii="Century Gothic" w:hAnsi="Century Gothic"/>
        </w:rPr>
        <w:t xml:space="preserve">Voltage levels </w:t>
      </w:r>
      <w:r w:rsidR="00A35214">
        <w:rPr>
          <w:rFonts w:ascii="Century Gothic" w:hAnsi="Century Gothic"/>
        </w:rPr>
        <w:t xml:space="preserve">at Point of Utility Coupling for both the </w:t>
      </w:r>
      <w:r w:rsidR="00FB5506">
        <w:rPr>
          <w:rFonts w:ascii="Century Gothic" w:hAnsi="Century Gothic"/>
        </w:rPr>
        <w:t>off-taker</w:t>
      </w:r>
      <w:r w:rsidR="00A35214">
        <w:rPr>
          <w:rFonts w:ascii="Century Gothic" w:hAnsi="Century Gothic"/>
        </w:rPr>
        <w:t xml:space="preserve"> and the generator</w:t>
      </w:r>
      <w:r w:rsidR="00B34BA2">
        <w:rPr>
          <w:rFonts w:ascii="Century Gothic" w:hAnsi="Century Gothic"/>
        </w:rPr>
        <w:t xml:space="preserve">. </w:t>
      </w:r>
      <w:r w:rsidR="00630FE5">
        <w:rPr>
          <w:rFonts w:ascii="Century Gothic" w:hAnsi="Century Gothic"/>
        </w:rPr>
        <w:t xml:space="preserve">It is to be considered that the voltage at PUC be </w:t>
      </w:r>
      <w:r w:rsidR="00BE387E">
        <w:rPr>
          <w:rFonts w:ascii="Century Gothic" w:hAnsi="Century Gothic"/>
        </w:rPr>
        <w:t>the same as that of the Municipal voltage level</w:t>
      </w:r>
      <w:r w:rsidR="008B3F2F">
        <w:rPr>
          <w:rFonts w:ascii="Century Gothic" w:hAnsi="Century Gothic"/>
        </w:rPr>
        <w:t xml:space="preserve"> </w:t>
      </w:r>
      <w:r w:rsidR="000601B0">
        <w:rPr>
          <w:rFonts w:ascii="Century Gothic" w:hAnsi="Century Gothic"/>
        </w:rPr>
        <w:t>e</w:t>
      </w:r>
      <w:r w:rsidR="00341A2D">
        <w:rPr>
          <w:rFonts w:ascii="Century Gothic" w:hAnsi="Century Gothic"/>
        </w:rPr>
        <w:t xml:space="preserve">.g., </w:t>
      </w:r>
      <w:r w:rsidR="00630FE5">
        <w:rPr>
          <w:rFonts w:ascii="Century Gothic" w:hAnsi="Century Gothic"/>
        </w:rPr>
        <w:t xml:space="preserve">6.6kV. </w:t>
      </w:r>
    </w:p>
    <w:p w14:paraId="49780E35" w14:textId="2A25D3E7" w:rsidR="00E773B5" w:rsidRDefault="00E43148" w:rsidP="00871EE8">
      <w:pPr>
        <w:pStyle w:val="ListParagraph"/>
        <w:numPr>
          <w:ilvl w:val="0"/>
          <w:numId w:val="40"/>
        </w:numPr>
        <w:spacing w:beforeLines="60" w:before="144" w:afterLines="60" w:after="144" w:line="240" w:lineRule="auto"/>
        <w:contextualSpacing w:val="0"/>
        <w:rPr>
          <w:rFonts w:ascii="Century Gothic" w:hAnsi="Century Gothic"/>
        </w:rPr>
      </w:pPr>
      <w:r>
        <w:rPr>
          <w:rFonts w:ascii="Century Gothic" w:hAnsi="Century Gothic"/>
        </w:rPr>
        <w:t xml:space="preserve">Minimum required </w:t>
      </w:r>
      <w:r w:rsidR="00D11085">
        <w:rPr>
          <w:rFonts w:ascii="Century Gothic" w:hAnsi="Century Gothic"/>
        </w:rPr>
        <w:t xml:space="preserve">Notified Maximum Demand (NMD) of the </w:t>
      </w:r>
      <w:r w:rsidR="00FB5506">
        <w:rPr>
          <w:rFonts w:ascii="Century Gothic" w:hAnsi="Century Gothic"/>
        </w:rPr>
        <w:t>off-taker</w:t>
      </w:r>
      <w:r>
        <w:rPr>
          <w:rFonts w:ascii="Century Gothic" w:hAnsi="Century Gothic"/>
        </w:rPr>
        <w:t xml:space="preserve">. </w:t>
      </w:r>
      <w:r w:rsidR="00630FE5">
        <w:rPr>
          <w:rFonts w:ascii="Century Gothic" w:hAnsi="Century Gothic"/>
        </w:rPr>
        <w:t xml:space="preserve">It is to be considered that the NMD of </w:t>
      </w:r>
      <w:r w:rsidR="00AD20C3">
        <w:rPr>
          <w:rFonts w:ascii="Century Gothic" w:hAnsi="Century Gothic"/>
        </w:rPr>
        <w:t xml:space="preserve">the </w:t>
      </w:r>
      <w:r w:rsidR="00FB5506">
        <w:rPr>
          <w:rFonts w:ascii="Century Gothic" w:hAnsi="Century Gothic"/>
        </w:rPr>
        <w:t>off-taker</w:t>
      </w:r>
      <w:r w:rsidR="00AD20C3">
        <w:rPr>
          <w:rFonts w:ascii="Century Gothic" w:hAnsi="Century Gothic"/>
        </w:rPr>
        <w:t xml:space="preserve"> be </w:t>
      </w:r>
      <w:r w:rsidR="00630FE5">
        <w:rPr>
          <w:rFonts w:ascii="Century Gothic" w:hAnsi="Century Gothic"/>
        </w:rPr>
        <w:t xml:space="preserve">no less than </w:t>
      </w:r>
      <w:r w:rsidR="00C61419">
        <w:rPr>
          <w:rFonts w:ascii="Century Gothic" w:hAnsi="Century Gothic"/>
        </w:rPr>
        <w:t xml:space="preserve">the Municipal </w:t>
      </w:r>
      <w:r w:rsidR="00DD2460">
        <w:rPr>
          <w:rFonts w:ascii="Century Gothic" w:hAnsi="Century Gothic"/>
        </w:rPr>
        <w:t xml:space="preserve">requirements </w:t>
      </w:r>
      <w:r w:rsidR="000601B0">
        <w:rPr>
          <w:rFonts w:ascii="Century Gothic" w:hAnsi="Century Gothic"/>
        </w:rPr>
        <w:t>e</w:t>
      </w:r>
      <w:r w:rsidR="00ED77F9">
        <w:rPr>
          <w:rFonts w:ascii="Century Gothic" w:hAnsi="Century Gothic"/>
        </w:rPr>
        <w:t>.g</w:t>
      </w:r>
      <w:r w:rsidR="00D573A9">
        <w:rPr>
          <w:rFonts w:ascii="Century Gothic" w:hAnsi="Century Gothic"/>
        </w:rPr>
        <w:t xml:space="preserve">., </w:t>
      </w:r>
      <w:r w:rsidR="00AD20C3">
        <w:rPr>
          <w:rFonts w:ascii="Century Gothic" w:hAnsi="Century Gothic"/>
        </w:rPr>
        <w:t>1MVA</w:t>
      </w:r>
      <w:r w:rsidR="00630FE5">
        <w:rPr>
          <w:rFonts w:ascii="Century Gothic" w:hAnsi="Century Gothic"/>
        </w:rPr>
        <w:t>.</w:t>
      </w:r>
    </w:p>
    <w:p w14:paraId="23EB0536" w14:textId="2D25AC00" w:rsidR="00E43148" w:rsidRPr="00DC5656" w:rsidRDefault="00CC179C" w:rsidP="00871EE8">
      <w:pPr>
        <w:pStyle w:val="ListParagraph"/>
        <w:numPr>
          <w:ilvl w:val="0"/>
          <w:numId w:val="40"/>
        </w:numPr>
        <w:spacing w:beforeLines="60" w:before="144" w:afterLines="60" w:after="144" w:line="240" w:lineRule="auto"/>
        <w:contextualSpacing w:val="0"/>
        <w:rPr>
          <w:rFonts w:ascii="Century Gothic" w:hAnsi="Century Gothic"/>
        </w:rPr>
      </w:pPr>
      <w:r>
        <w:rPr>
          <w:rFonts w:ascii="Century Gothic" w:hAnsi="Century Gothic"/>
        </w:rPr>
        <w:t xml:space="preserve">Considerations around building plan approvals. </w:t>
      </w:r>
    </w:p>
    <w:p w14:paraId="057B9307" w14:textId="77777777" w:rsidR="008624B8" w:rsidRPr="009172FA" w:rsidRDefault="008624B8" w:rsidP="00541C65">
      <w:pPr>
        <w:pStyle w:val="ListParagraph"/>
        <w:numPr>
          <w:ilvl w:val="0"/>
          <w:numId w:val="4"/>
        </w:numPr>
        <w:pBdr>
          <w:top w:val="nil"/>
          <w:left w:val="nil"/>
          <w:bottom w:val="nil"/>
          <w:right w:val="nil"/>
          <w:between w:val="nil"/>
        </w:pBdr>
        <w:spacing w:beforeLines="60" w:before="144" w:afterLines="60" w:after="144" w:line="240" w:lineRule="auto"/>
        <w:contextualSpacing w:val="0"/>
        <w:rPr>
          <w:rFonts w:ascii="Century Gothic" w:hAnsi="Century Gothic"/>
        </w:rPr>
      </w:pPr>
      <w:r w:rsidRPr="009172FA">
        <w:rPr>
          <w:rFonts w:ascii="Century Gothic" w:hAnsi="Century Gothic"/>
        </w:rPr>
        <w:lastRenderedPageBreak/>
        <w:t>Technical Feasibility</w:t>
      </w:r>
    </w:p>
    <w:p w14:paraId="70C42033" w14:textId="3A6D90EF" w:rsidR="008624B8" w:rsidRDefault="005C0DA5" w:rsidP="00871EE8">
      <w:pPr>
        <w:pStyle w:val="ListParagraph"/>
        <w:numPr>
          <w:ilvl w:val="0"/>
          <w:numId w:val="40"/>
        </w:numPr>
        <w:spacing w:beforeLines="60" w:before="144" w:afterLines="60" w:after="144" w:line="240" w:lineRule="auto"/>
        <w:contextualSpacing w:val="0"/>
        <w:rPr>
          <w:rFonts w:ascii="Century Gothic" w:hAnsi="Century Gothic"/>
        </w:rPr>
      </w:pPr>
      <w:r w:rsidRPr="00DC5656">
        <w:rPr>
          <w:rFonts w:ascii="Century Gothic" w:hAnsi="Century Gothic"/>
        </w:rPr>
        <w:t>The municipality should assess the capacity and condition of its distribution network and plan for any necessary upgrades or expansions. This may involve coordinating with the relevant generator and considering future load projections and growth scenarios.</w:t>
      </w:r>
    </w:p>
    <w:p w14:paraId="0EDB1597" w14:textId="1091DB60" w:rsidR="009A0DEF" w:rsidRDefault="009B65CD" w:rsidP="00871EE8">
      <w:pPr>
        <w:pStyle w:val="ListParagraph"/>
        <w:numPr>
          <w:ilvl w:val="0"/>
          <w:numId w:val="40"/>
        </w:numPr>
        <w:spacing w:beforeLines="60" w:before="144" w:afterLines="60" w:after="144" w:line="240" w:lineRule="auto"/>
        <w:contextualSpacing w:val="0"/>
        <w:rPr>
          <w:rFonts w:ascii="Century Gothic" w:hAnsi="Century Gothic"/>
        </w:rPr>
      </w:pPr>
      <w:r w:rsidRPr="00F82784">
        <w:rPr>
          <w:rFonts w:ascii="Century Gothic" w:hAnsi="Century Gothic"/>
        </w:rPr>
        <w:t>No wheeling agreement will be entered into with a consumer</w:t>
      </w:r>
      <w:r w:rsidR="000601B0">
        <w:rPr>
          <w:rFonts w:ascii="Century Gothic" w:hAnsi="Century Gothic"/>
        </w:rPr>
        <w:t>,</w:t>
      </w:r>
      <w:r w:rsidRPr="00F82784">
        <w:rPr>
          <w:rFonts w:ascii="Century Gothic" w:hAnsi="Century Gothic"/>
        </w:rPr>
        <w:t xml:space="preserve"> or connection and use-of-system agreement with the generator and energy trader</w:t>
      </w:r>
      <w:r w:rsidR="000601B0">
        <w:rPr>
          <w:rFonts w:ascii="Century Gothic" w:hAnsi="Century Gothic"/>
        </w:rPr>
        <w:t>,</w:t>
      </w:r>
      <w:r w:rsidRPr="00F82784">
        <w:rPr>
          <w:rFonts w:ascii="Century Gothic" w:hAnsi="Century Gothic"/>
        </w:rPr>
        <w:t xml:space="preserve"> if the network capacity of the Muni</w:t>
      </w:r>
      <w:r w:rsidR="00FE59FD" w:rsidRPr="00F82784">
        <w:rPr>
          <w:rFonts w:ascii="Century Gothic" w:hAnsi="Century Gothic"/>
        </w:rPr>
        <w:t>cipality’s</w:t>
      </w:r>
      <w:r w:rsidRPr="00F82784">
        <w:rPr>
          <w:rFonts w:ascii="Century Gothic" w:hAnsi="Century Gothic"/>
        </w:rPr>
        <w:t xml:space="preserve"> grid (supply mains/distribution and/or reticulation network)</w:t>
      </w:r>
      <w:r w:rsidR="00F82784" w:rsidRPr="00F82784">
        <w:rPr>
          <w:rFonts w:ascii="Century Gothic" w:hAnsi="Century Gothic"/>
        </w:rPr>
        <w:t xml:space="preserve"> </w:t>
      </w:r>
      <w:r w:rsidRPr="00F82784">
        <w:rPr>
          <w:rFonts w:ascii="Century Gothic" w:hAnsi="Century Gothic"/>
        </w:rPr>
        <w:t>and/or Eskom grid will be exceeded as a result thereof.</w:t>
      </w:r>
    </w:p>
    <w:p w14:paraId="28A750A5" w14:textId="751109F8" w:rsidR="00C812B0" w:rsidRPr="00C812B0" w:rsidRDefault="00C812B0" w:rsidP="00871EE8">
      <w:pPr>
        <w:pStyle w:val="ListParagraph"/>
        <w:numPr>
          <w:ilvl w:val="0"/>
          <w:numId w:val="40"/>
        </w:numPr>
        <w:spacing w:beforeLines="60" w:before="144" w:afterLines="60" w:after="144" w:line="240" w:lineRule="auto"/>
        <w:contextualSpacing w:val="0"/>
        <w:rPr>
          <w:rFonts w:ascii="Century Gothic" w:hAnsi="Century Gothic"/>
        </w:rPr>
      </w:pPr>
      <w:r w:rsidRPr="00C812B0">
        <w:rPr>
          <w:rFonts w:ascii="Century Gothic" w:hAnsi="Century Gothic"/>
        </w:rPr>
        <w:t>A grid impact study needs to be performed at the Generator’s cost and signed off by an independent Registered Professional Engineer. Results to be submitted to the municipality for evaluation</w:t>
      </w:r>
      <w:r w:rsidR="009D45A1">
        <w:rPr>
          <w:rFonts w:ascii="Century Gothic" w:hAnsi="Century Gothic"/>
        </w:rPr>
        <w:t>.</w:t>
      </w:r>
    </w:p>
    <w:p w14:paraId="7DF60D8B" w14:textId="3D2BD28E" w:rsidR="00C812B0" w:rsidRPr="00F82784" w:rsidRDefault="00C812B0" w:rsidP="00871EE8">
      <w:pPr>
        <w:pStyle w:val="ListParagraph"/>
        <w:numPr>
          <w:ilvl w:val="0"/>
          <w:numId w:val="40"/>
        </w:numPr>
        <w:spacing w:beforeLines="60" w:before="144" w:afterLines="60" w:after="144" w:line="240" w:lineRule="auto"/>
        <w:contextualSpacing w:val="0"/>
        <w:rPr>
          <w:rFonts w:ascii="Century Gothic" w:hAnsi="Century Gothic"/>
        </w:rPr>
      </w:pPr>
      <w:r w:rsidRPr="00C812B0">
        <w:rPr>
          <w:rFonts w:ascii="Century Gothic" w:hAnsi="Century Gothic"/>
        </w:rPr>
        <w:t>Before connecting to the municipal grid, the generator needs to do a Quality of Supply study (at the busbar where the connection will be made) to determine the base case</w:t>
      </w:r>
      <w:r w:rsidR="00BA0EB6">
        <w:rPr>
          <w:rFonts w:ascii="Century Gothic" w:hAnsi="Century Gothic"/>
        </w:rPr>
        <w:t xml:space="preserve">. </w:t>
      </w:r>
    </w:p>
    <w:p w14:paraId="38E88D99" w14:textId="2A007B97" w:rsidR="00513285" w:rsidRPr="009172FA" w:rsidRDefault="008624B8" w:rsidP="00541C65">
      <w:pPr>
        <w:pStyle w:val="ListParagraph"/>
        <w:numPr>
          <w:ilvl w:val="0"/>
          <w:numId w:val="4"/>
        </w:numPr>
        <w:pBdr>
          <w:top w:val="nil"/>
          <w:left w:val="nil"/>
          <w:bottom w:val="nil"/>
          <w:right w:val="nil"/>
          <w:between w:val="nil"/>
        </w:pBdr>
        <w:spacing w:beforeLines="60" w:before="144" w:afterLines="60" w:after="144" w:line="240" w:lineRule="auto"/>
        <w:contextualSpacing w:val="0"/>
        <w:rPr>
          <w:rFonts w:ascii="Century Gothic" w:hAnsi="Century Gothic"/>
        </w:rPr>
      </w:pPr>
      <w:r w:rsidRPr="009172FA">
        <w:rPr>
          <w:rFonts w:ascii="Century Gothic" w:hAnsi="Century Gothic"/>
        </w:rPr>
        <w:t>Contractual Agreements</w:t>
      </w:r>
    </w:p>
    <w:p w14:paraId="2F142842" w14:textId="083F1A7D" w:rsidR="008624B8" w:rsidRPr="00DC5656" w:rsidRDefault="008624B8" w:rsidP="009E17B0">
      <w:pPr>
        <w:spacing w:beforeLines="60" w:before="144" w:afterLines="60" w:after="144" w:line="240" w:lineRule="auto"/>
        <w:ind w:left="360"/>
        <w:rPr>
          <w:rFonts w:ascii="Century Gothic" w:hAnsi="Century Gothic"/>
        </w:rPr>
      </w:pPr>
      <w:r w:rsidRPr="00DC5656">
        <w:rPr>
          <w:rFonts w:ascii="Century Gothic" w:hAnsi="Century Gothic"/>
        </w:rPr>
        <w:t>Depending on the Wheeling scenario, consider which of the following agreements need to be in place</w:t>
      </w:r>
      <w:r w:rsidR="000601B0">
        <w:rPr>
          <w:rFonts w:ascii="Century Gothic" w:hAnsi="Century Gothic"/>
        </w:rPr>
        <w:t>:</w:t>
      </w:r>
      <w:r w:rsidRPr="00DC5656">
        <w:rPr>
          <w:rFonts w:ascii="Century Gothic" w:hAnsi="Century Gothic"/>
        </w:rPr>
        <w:t xml:space="preserve"> </w:t>
      </w:r>
    </w:p>
    <w:p w14:paraId="33593CD3" w14:textId="77777777" w:rsidR="008624B8" w:rsidRPr="00DC5656" w:rsidRDefault="008624B8" w:rsidP="00871EE8">
      <w:pPr>
        <w:pStyle w:val="ListParagraph"/>
        <w:numPr>
          <w:ilvl w:val="0"/>
          <w:numId w:val="40"/>
        </w:numPr>
        <w:spacing w:beforeLines="60" w:before="144" w:afterLines="60" w:after="144" w:line="240" w:lineRule="auto"/>
        <w:contextualSpacing w:val="0"/>
        <w:rPr>
          <w:rFonts w:ascii="Century Gothic" w:hAnsi="Century Gothic"/>
        </w:rPr>
      </w:pPr>
      <w:r w:rsidRPr="00DC5656">
        <w:rPr>
          <w:rFonts w:ascii="Century Gothic" w:hAnsi="Century Gothic"/>
        </w:rPr>
        <w:t>Supply Contracts</w:t>
      </w:r>
    </w:p>
    <w:p w14:paraId="017F441F" w14:textId="25B7711C" w:rsidR="008624B8" w:rsidRPr="00DC5656" w:rsidRDefault="008624B8" w:rsidP="00871EE8">
      <w:pPr>
        <w:pStyle w:val="ListParagraph"/>
        <w:numPr>
          <w:ilvl w:val="0"/>
          <w:numId w:val="40"/>
        </w:numPr>
        <w:spacing w:beforeLines="60" w:before="144" w:afterLines="60" w:after="144" w:line="240" w:lineRule="auto"/>
        <w:contextualSpacing w:val="0"/>
        <w:rPr>
          <w:rFonts w:ascii="Century Gothic" w:hAnsi="Century Gothic"/>
        </w:rPr>
      </w:pPr>
      <w:r w:rsidRPr="00DC5656">
        <w:rPr>
          <w:rFonts w:ascii="Century Gothic" w:hAnsi="Century Gothic"/>
        </w:rPr>
        <w:t xml:space="preserve">Power Purchase Agreement </w:t>
      </w:r>
      <w:r w:rsidR="00D6366D">
        <w:rPr>
          <w:rFonts w:ascii="Century Gothic" w:hAnsi="Century Gothic"/>
        </w:rPr>
        <w:t xml:space="preserve">between the </w:t>
      </w:r>
      <w:r w:rsidRPr="00DC5656">
        <w:rPr>
          <w:rFonts w:ascii="Century Gothic" w:hAnsi="Century Gothic"/>
        </w:rPr>
        <w:t>Generator//</w:t>
      </w:r>
      <w:r w:rsidR="00FB5506">
        <w:rPr>
          <w:rFonts w:ascii="Century Gothic" w:hAnsi="Century Gothic"/>
        </w:rPr>
        <w:t>Off-taker</w:t>
      </w:r>
    </w:p>
    <w:p w14:paraId="0A650818" w14:textId="37BB8549" w:rsidR="008624B8" w:rsidRPr="00DC5656" w:rsidRDefault="008624B8" w:rsidP="00871EE8">
      <w:pPr>
        <w:pStyle w:val="ListParagraph"/>
        <w:numPr>
          <w:ilvl w:val="0"/>
          <w:numId w:val="40"/>
        </w:numPr>
        <w:spacing w:beforeLines="60" w:before="144" w:afterLines="60" w:after="144" w:line="240" w:lineRule="auto"/>
        <w:contextualSpacing w:val="0"/>
        <w:rPr>
          <w:rFonts w:ascii="Century Gothic" w:hAnsi="Century Gothic"/>
        </w:rPr>
      </w:pPr>
      <w:r w:rsidRPr="00DC5656">
        <w:rPr>
          <w:rFonts w:ascii="Century Gothic" w:hAnsi="Century Gothic"/>
        </w:rPr>
        <w:t>Connection/Use-of-System Agreement with Munic</w:t>
      </w:r>
      <w:r w:rsidR="000601B0">
        <w:rPr>
          <w:rFonts w:ascii="Century Gothic" w:hAnsi="Century Gothic"/>
        </w:rPr>
        <w:t>ipality</w:t>
      </w:r>
      <w:r w:rsidRPr="00DC5656">
        <w:rPr>
          <w:rFonts w:ascii="Century Gothic" w:hAnsi="Century Gothic"/>
        </w:rPr>
        <w:t xml:space="preserve">, with wheeling annexure. </w:t>
      </w:r>
    </w:p>
    <w:p w14:paraId="60F4485A" w14:textId="77E7F184" w:rsidR="008624B8" w:rsidRPr="00DC5656" w:rsidRDefault="008624B8" w:rsidP="00871EE8">
      <w:pPr>
        <w:pStyle w:val="ListParagraph"/>
        <w:numPr>
          <w:ilvl w:val="0"/>
          <w:numId w:val="40"/>
        </w:numPr>
        <w:spacing w:beforeLines="60" w:before="144" w:afterLines="60" w:after="144" w:line="240" w:lineRule="auto"/>
        <w:contextualSpacing w:val="0"/>
        <w:rPr>
          <w:rFonts w:ascii="Century Gothic" w:hAnsi="Century Gothic"/>
        </w:rPr>
      </w:pPr>
      <w:r w:rsidRPr="00DC5656">
        <w:rPr>
          <w:rFonts w:ascii="Century Gothic" w:hAnsi="Century Gothic"/>
        </w:rPr>
        <w:t xml:space="preserve">Supplemental Electricity Supply Agreement </w:t>
      </w:r>
    </w:p>
    <w:p w14:paraId="16887C8D" w14:textId="055889D6" w:rsidR="008624B8" w:rsidRPr="00DC5656" w:rsidRDefault="008624B8" w:rsidP="00871EE8">
      <w:pPr>
        <w:pStyle w:val="ListParagraph"/>
        <w:numPr>
          <w:ilvl w:val="1"/>
          <w:numId w:val="52"/>
        </w:numPr>
        <w:spacing w:beforeLines="60" w:before="144" w:afterLines="60" w:after="144" w:line="240" w:lineRule="auto"/>
        <w:contextualSpacing w:val="0"/>
        <w:rPr>
          <w:rFonts w:ascii="Century Gothic" w:hAnsi="Century Gothic"/>
        </w:rPr>
      </w:pPr>
      <w:r w:rsidRPr="00DC5656">
        <w:rPr>
          <w:rFonts w:ascii="Century Gothic" w:hAnsi="Century Gothic"/>
        </w:rPr>
        <w:t xml:space="preserve">This agreement reflects delivery of private power to the </w:t>
      </w:r>
      <w:r w:rsidR="000601B0">
        <w:rPr>
          <w:rFonts w:ascii="Century Gothic" w:hAnsi="Century Gothic"/>
        </w:rPr>
        <w:t>Off-taker</w:t>
      </w:r>
      <w:r w:rsidR="000601B0" w:rsidRPr="00DC5656">
        <w:rPr>
          <w:rFonts w:ascii="Century Gothic" w:hAnsi="Century Gothic"/>
        </w:rPr>
        <w:t xml:space="preserve"> </w:t>
      </w:r>
      <w:r w:rsidRPr="00DC5656">
        <w:rPr>
          <w:rFonts w:ascii="Century Gothic" w:hAnsi="Century Gothic"/>
        </w:rPr>
        <w:t xml:space="preserve">by the </w:t>
      </w:r>
      <w:r w:rsidR="000601B0">
        <w:rPr>
          <w:rFonts w:ascii="Century Gothic" w:hAnsi="Century Gothic"/>
        </w:rPr>
        <w:t>Municipality</w:t>
      </w:r>
      <w:r w:rsidRPr="00DC5656">
        <w:rPr>
          <w:rFonts w:ascii="Century Gothic" w:hAnsi="Century Gothic"/>
        </w:rPr>
        <w:t xml:space="preserve"> from the Generator.</w:t>
      </w:r>
    </w:p>
    <w:p w14:paraId="0D1EF2E9" w14:textId="1A436EB0" w:rsidR="008624B8" w:rsidRPr="00DC5656" w:rsidRDefault="008624B8" w:rsidP="00871EE8">
      <w:pPr>
        <w:pStyle w:val="ListParagraph"/>
        <w:numPr>
          <w:ilvl w:val="1"/>
          <w:numId w:val="52"/>
        </w:numPr>
        <w:spacing w:beforeLines="60" w:before="144" w:afterLines="60" w:after="144" w:line="240" w:lineRule="auto"/>
        <w:contextualSpacing w:val="0"/>
        <w:rPr>
          <w:rFonts w:ascii="Century Gothic" w:hAnsi="Century Gothic"/>
        </w:rPr>
      </w:pPr>
      <w:r w:rsidRPr="00DC5656">
        <w:rPr>
          <w:rFonts w:ascii="Century Gothic" w:hAnsi="Century Gothic"/>
        </w:rPr>
        <w:t>The agreement accounts for the payment of the necessary tariffs and administration fees to the Municipality</w:t>
      </w:r>
      <w:r w:rsidR="000601B0">
        <w:rPr>
          <w:rFonts w:ascii="Century Gothic" w:hAnsi="Century Gothic"/>
        </w:rPr>
        <w:t>.</w:t>
      </w:r>
    </w:p>
    <w:p w14:paraId="77598545" w14:textId="29498ACF" w:rsidR="008624B8" w:rsidRDefault="008624B8" w:rsidP="00871EE8">
      <w:pPr>
        <w:pStyle w:val="ListParagraph"/>
        <w:numPr>
          <w:ilvl w:val="0"/>
          <w:numId w:val="40"/>
        </w:numPr>
        <w:spacing w:beforeLines="60" w:before="144" w:afterLines="60" w:after="144" w:line="240" w:lineRule="auto"/>
        <w:contextualSpacing w:val="0"/>
        <w:rPr>
          <w:rFonts w:ascii="Century Gothic" w:hAnsi="Century Gothic"/>
        </w:rPr>
      </w:pPr>
      <w:r w:rsidRPr="00DC5656">
        <w:rPr>
          <w:rFonts w:ascii="Century Gothic" w:hAnsi="Century Gothic"/>
        </w:rPr>
        <w:t xml:space="preserve">NERSA: Generator to enter into a wheeling agreement with </w:t>
      </w:r>
      <w:r w:rsidR="00646158">
        <w:rPr>
          <w:rFonts w:ascii="Century Gothic" w:hAnsi="Century Gothic"/>
        </w:rPr>
        <w:t xml:space="preserve">Municipality. </w:t>
      </w:r>
    </w:p>
    <w:p w14:paraId="2772DCEC" w14:textId="47405BED" w:rsidR="00646158" w:rsidRPr="00DC5656" w:rsidRDefault="00B512A2" w:rsidP="00871EE8">
      <w:pPr>
        <w:pStyle w:val="ListParagraph"/>
        <w:numPr>
          <w:ilvl w:val="0"/>
          <w:numId w:val="40"/>
        </w:numPr>
        <w:spacing w:beforeLines="60" w:before="144" w:afterLines="60" w:after="144" w:line="240" w:lineRule="auto"/>
        <w:contextualSpacing w:val="0"/>
        <w:rPr>
          <w:rFonts w:ascii="Century Gothic" w:hAnsi="Century Gothic"/>
        </w:rPr>
      </w:pPr>
      <w:r>
        <w:rPr>
          <w:rFonts w:ascii="Century Gothic" w:hAnsi="Century Gothic"/>
        </w:rPr>
        <w:t xml:space="preserve">Wheeling agreement with Eskom to accommodate wheeling from a generator outside the Municipality. </w:t>
      </w:r>
    </w:p>
    <w:p w14:paraId="1768E308" w14:textId="015FF143" w:rsidR="001B17A0" w:rsidRPr="009172FA" w:rsidRDefault="001B17A0" w:rsidP="00541C65">
      <w:pPr>
        <w:pStyle w:val="ListParagraph"/>
        <w:numPr>
          <w:ilvl w:val="0"/>
          <w:numId w:val="4"/>
        </w:numPr>
        <w:pBdr>
          <w:top w:val="nil"/>
          <w:left w:val="nil"/>
          <w:bottom w:val="nil"/>
          <w:right w:val="nil"/>
          <w:between w:val="nil"/>
        </w:pBdr>
        <w:spacing w:beforeLines="60" w:before="144" w:afterLines="60" w:after="144" w:line="240" w:lineRule="auto"/>
        <w:contextualSpacing w:val="0"/>
        <w:rPr>
          <w:rFonts w:ascii="Century Gothic" w:hAnsi="Century Gothic"/>
        </w:rPr>
      </w:pPr>
      <w:r w:rsidRPr="009172FA">
        <w:rPr>
          <w:rFonts w:ascii="Century Gothic" w:hAnsi="Century Gothic"/>
        </w:rPr>
        <w:t>Environment</w:t>
      </w:r>
      <w:r w:rsidR="009B6B35" w:rsidRPr="009172FA">
        <w:rPr>
          <w:rFonts w:ascii="Century Gothic" w:hAnsi="Century Gothic"/>
        </w:rPr>
        <w:t>al Impacts</w:t>
      </w:r>
    </w:p>
    <w:p w14:paraId="39A1025A" w14:textId="243C7F87" w:rsidR="0085766C" w:rsidRPr="0085766C" w:rsidRDefault="0085766C" w:rsidP="009E17B0">
      <w:pPr>
        <w:spacing w:beforeLines="60" w:before="144" w:afterLines="60" w:after="144" w:line="240" w:lineRule="auto"/>
        <w:ind w:left="360"/>
        <w:rPr>
          <w:rFonts w:ascii="Century Gothic" w:hAnsi="Century Gothic"/>
        </w:rPr>
      </w:pPr>
      <w:r>
        <w:rPr>
          <w:rFonts w:ascii="Century Gothic" w:hAnsi="Century Gothic"/>
        </w:rPr>
        <w:t xml:space="preserve">The Municipality should </w:t>
      </w:r>
      <w:r w:rsidR="00027ED6">
        <w:rPr>
          <w:rFonts w:ascii="Century Gothic" w:hAnsi="Century Gothic"/>
        </w:rPr>
        <w:t xml:space="preserve">consider </w:t>
      </w:r>
      <w:r w:rsidR="00BE2623">
        <w:rPr>
          <w:rFonts w:ascii="Century Gothic" w:hAnsi="Century Gothic"/>
        </w:rPr>
        <w:t>which environmental regulations must be adhe</w:t>
      </w:r>
      <w:r w:rsidR="00781FE7">
        <w:rPr>
          <w:rFonts w:ascii="Century Gothic" w:hAnsi="Century Gothic"/>
        </w:rPr>
        <w:t>red to</w:t>
      </w:r>
      <w:r w:rsidR="00E004C1">
        <w:rPr>
          <w:rFonts w:ascii="Century Gothic" w:hAnsi="Century Gothic"/>
        </w:rPr>
        <w:t>:</w:t>
      </w:r>
    </w:p>
    <w:p w14:paraId="4ECFD787" w14:textId="77777777" w:rsidR="00E004C1" w:rsidRPr="00E004C1" w:rsidRDefault="0085766C" w:rsidP="00871EE8">
      <w:pPr>
        <w:pStyle w:val="ListParagraph"/>
        <w:numPr>
          <w:ilvl w:val="0"/>
          <w:numId w:val="40"/>
        </w:numPr>
        <w:spacing w:beforeLines="60" w:before="144" w:afterLines="60" w:after="144" w:line="240" w:lineRule="auto"/>
        <w:contextualSpacing w:val="0"/>
        <w:rPr>
          <w:rFonts w:ascii="Century Gothic" w:hAnsi="Century Gothic"/>
        </w:rPr>
      </w:pPr>
      <w:bookmarkStart w:id="34" w:name="_Hlk139369221"/>
      <w:r>
        <w:rPr>
          <w:rFonts w:ascii="Century Gothic" w:hAnsi="Century Gothic"/>
        </w:rPr>
        <w:t xml:space="preserve">The </w:t>
      </w:r>
      <w:r w:rsidR="00E004C1" w:rsidRPr="00E004C1">
        <w:rPr>
          <w:rFonts w:ascii="Century Gothic" w:hAnsi="Century Gothic"/>
        </w:rPr>
        <w:t>National Environmental Management Act (NEMA</w:t>
      </w:r>
      <w:bookmarkEnd w:id="34"/>
      <w:r w:rsidR="00E004C1" w:rsidRPr="00E004C1">
        <w:rPr>
          <w:rFonts w:ascii="Century Gothic" w:hAnsi="Century Gothic"/>
        </w:rPr>
        <w:t xml:space="preserve">), No. 107 of 1998 </w:t>
      </w:r>
    </w:p>
    <w:p w14:paraId="0084657F" w14:textId="168C2758" w:rsidR="001B17A0" w:rsidRDefault="00E004C1" w:rsidP="00871EE8">
      <w:pPr>
        <w:pStyle w:val="ListParagraph"/>
        <w:numPr>
          <w:ilvl w:val="0"/>
          <w:numId w:val="40"/>
        </w:numPr>
        <w:spacing w:beforeLines="60" w:before="144" w:afterLines="60" w:after="144" w:line="240" w:lineRule="auto"/>
        <w:contextualSpacing w:val="0"/>
        <w:rPr>
          <w:rFonts w:ascii="Century Gothic" w:hAnsi="Century Gothic"/>
        </w:rPr>
      </w:pPr>
      <w:r w:rsidRPr="00E004C1">
        <w:rPr>
          <w:rFonts w:ascii="Century Gothic" w:hAnsi="Century Gothic"/>
        </w:rPr>
        <w:t>NEMA Regulations</w:t>
      </w:r>
    </w:p>
    <w:p w14:paraId="63BE6105" w14:textId="6ADADBAD" w:rsidR="002944E5" w:rsidRDefault="00C00C33" w:rsidP="00871EE8">
      <w:pPr>
        <w:pStyle w:val="ListParagraph"/>
        <w:numPr>
          <w:ilvl w:val="0"/>
          <w:numId w:val="40"/>
        </w:numPr>
        <w:spacing w:beforeLines="60" w:before="144" w:afterLines="60" w:after="144" w:line="240" w:lineRule="auto"/>
        <w:contextualSpacing w:val="0"/>
        <w:rPr>
          <w:rFonts w:ascii="Century Gothic" w:hAnsi="Century Gothic"/>
        </w:rPr>
      </w:pPr>
      <w:r>
        <w:rPr>
          <w:rFonts w:ascii="Century Gothic" w:hAnsi="Century Gothic"/>
        </w:rPr>
        <w:t>Water Use License (</w:t>
      </w:r>
      <w:r w:rsidR="002944E5">
        <w:rPr>
          <w:rFonts w:ascii="Century Gothic" w:hAnsi="Century Gothic"/>
        </w:rPr>
        <w:t>WULA</w:t>
      </w:r>
      <w:r>
        <w:rPr>
          <w:rFonts w:ascii="Century Gothic" w:hAnsi="Century Gothic"/>
        </w:rPr>
        <w:t>)</w:t>
      </w:r>
    </w:p>
    <w:p w14:paraId="019B420A" w14:textId="0BF9CBBD" w:rsidR="002944E5" w:rsidRDefault="00C00C33" w:rsidP="00871EE8">
      <w:pPr>
        <w:pStyle w:val="ListParagraph"/>
        <w:numPr>
          <w:ilvl w:val="0"/>
          <w:numId w:val="40"/>
        </w:numPr>
        <w:spacing w:beforeLines="60" w:before="144" w:afterLines="60" w:after="144" w:line="240" w:lineRule="auto"/>
        <w:contextualSpacing w:val="0"/>
        <w:rPr>
          <w:rFonts w:ascii="Century Gothic" w:hAnsi="Century Gothic"/>
        </w:rPr>
      </w:pPr>
      <w:r>
        <w:rPr>
          <w:rFonts w:ascii="Century Gothic" w:hAnsi="Century Gothic"/>
        </w:rPr>
        <w:t>Environmental Impact Assessment (</w:t>
      </w:r>
      <w:r w:rsidR="002944E5">
        <w:rPr>
          <w:rFonts w:ascii="Century Gothic" w:hAnsi="Century Gothic"/>
        </w:rPr>
        <w:t>EIA</w:t>
      </w:r>
      <w:r>
        <w:rPr>
          <w:rFonts w:ascii="Century Gothic" w:hAnsi="Century Gothic"/>
        </w:rPr>
        <w:t>)</w:t>
      </w:r>
    </w:p>
    <w:p w14:paraId="1CF16F05" w14:textId="7AA875BF" w:rsidR="002944E5" w:rsidRDefault="00535118" w:rsidP="00871EE8">
      <w:pPr>
        <w:pStyle w:val="ListParagraph"/>
        <w:numPr>
          <w:ilvl w:val="0"/>
          <w:numId w:val="40"/>
        </w:numPr>
        <w:spacing w:beforeLines="60" w:before="144" w:afterLines="60" w:after="144" w:line="240" w:lineRule="auto"/>
        <w:contextualSpacing w:val="0"/>
        <w:rPr>
          <w:rFonts w:ascii="Century Gothic" w:hAnsi="Century Gothic"/>
        </w:rPr>
      </w:pPr>
      <w:r>
        <w:rPr>
          <w:rFonts w:ascii="Century Gothic" w:hAnsi="Century Gothic"/>
        </w:rPr>
        <w:t>Waste License</w:t>
      </w:r>
    </w:p>
    <w:p w14:paraId="1B6A9618" w14:textId="67F4E662" w:rsidR="00535118" w:rsidRDefault="00832361" w:rsidP="00871EE8">
      <w:pPr>
        <w:pStyle w:val="ListParagraph"/>
        <w:numPr>
          <w:ilvl w:val="0"/>
          <w:numId w:val="40"/>
        </w:numPr>
        <w:spacing w:beforeLines="60" w:before="144" w:afterLines="60" w:after="144" w:line="240" w:lineRule="auto"/>
        <w:contextualSpacing w:val="0"/>
        <w:rPr>
          <w:rFonts w:ascii="Century Gothic" w:hAnsi="Century Gothic"/>
        </w:rPr>
      </w:pPr>
      <w:r>
        <w:rPr>
          <w:rFonts w:ascii="Century Gothic" w:hAnsi="Century Gothic"/>
        </w:rPr>
        <w:t>SALA</w:t>
      </w:r>
    </w:p>
    <w:p w14:paraId="457E3480" w14:textId="046AFC97" w:rsidR="008624B8" w:rsidRPr="009172FA" w:rsidRDefault="008624B8" w:rsidP="00541C65">
      <w:pPr>
        <w:pStyle w:val="ListParagraph"/>
        <w:numPr>
          <w:ilvl w:val="0"/>
          <w:numId w:val="4"/>
        </w:numPr>
        <w:pBdr>
          <w:top w:val="nil"/>
          <w:left w:val="nil"/>
          <w:bottom w:val="nil"/>
          <w:right w:val="nil"/>
          <w:between w:val="nil"/>
        </w:pBdr>
        <w:spacing w:beforeLines="60" w:before="144" w:afterLines="60" w:after="144" w:line="240" w:lineRule="auto"/>
        <w:contextualSpacing w:val="0"/>
        <w:rPr>
          <w:rFonts w:ascii="Century Gothic" w:hAnsi="Century Gothic"/>
        </w:rPr>
      </w:pPr>
      <w:r w:rsidRPr="009172FA">
        <w:rPr>
          <w:rFonts w:ascii="Century Gothic" w:hAnsi="Century Gothic"/>
        </w:rPr>
        <w:t>Financial and Creditworthiness</w:t>
      </w:r>
    </w:p>
    <w:p w14:paraId="32F5878A" w14:textId="6F7E65F3" w:rsidR="00AB1883" w:rsidRPr="00AB1883" w:rsidRDefault="00AB1883" w:rsidP="009E17B0">
      <w:pPr>
        <w:spacing w:beforeLines="60" w:before="144" w:afterLines="60" w:after="144" w:line="240" w:lineRule="auto"/>
        <w:ind w:left="360"/>
        <w:rPr>
          <w:rFonts w:ascii="Century Gothic" w:hAnsi="Century Gothic"/>
        </w:rPr>
      </w:pPr>
      <w:r>
        <w:rPr>
          <w:rFonts w:ascii="Century Gothic" w:hAnsi="Century Gothic"/>
        </w:rPr>
        <w:t xml:space="preserve">The Municipality must consider </w:t>
      </w:r>
      <w:r w:rsidR="00BB7F7F">
        <w:rPr>
          <w:rFonts w:ascii="Century Gothic" w:hAnsi="Century Gothic"/>
        </w:rPr>
        <w:t xml:space="preserve">assessing the </w:t>
      </w:r>
      <w:r w:rsidR="00BB7F7F" w:rsidRPr="00BB7F7F">
        <w:rPr>
          <w:rFonts w:ascii="Century Gothic" w:hAnsi="Century Gothic"/>
        </w:rPr>
        <w:t xml:space="preserve">financial stability and creditworthiness of the </w:t>
      </w:r>
      <w:r w:rsidR="00677926">
        <w:rPr>
          <w:rFonts w:ascii="Century Gothic" w:hAnsi="Century Gothic"/>
        </w:rPr>
        <w:t>role-players</w:t>
      </w:r>
      <w:r w:rsidR="00BB7F7F">
        <w:rPr>
          <w:rFonts w:ascii="Century Gothic" w:hAnsi="Century Gothic"/>
        </w:rPr>
        <w:t xml:space="preserve">. This evaluation </w:t>
      </w:r>
      <w:r w:rsidR="00FB620B">
        <w:rPr>
          <w:rFonts w:ascii="Century Gothic" w:hAnsi="Century Gothic"/>
        </w:rPr>
        <w:t>helps</w:t>
      </w:r>
      <w:r w:rsidR="00677926">
        <w:rPr>
          <w:rFonts w:ascii="Century Gothic" w:hAnsi="Century Gothic"/>
        </w:rPr>
        <w:t xml:space="preserve"> to:</w:t>
      </w:r>
    </w:p>
    <w:p w14:paraId="23195409" w14:textId="2001DA9D" w:rsidR="00AB1883" w:rsidRPr="00400DF5" w:rsidRDefault="00677926" w:rsidP="00871EE8">
      <w:pPr>
        <w:pStyle w:val="ListParagraph"/>
        <w:numPr>
          <w:ilvl w:val="0"/>
          <w:numId w:val="40"/>
        </w:numPr>
        <w:spacing w:beforeLines="60" w:before="144" w:afterLines="60" w:after="144" w:line="240" w:lineRule="auto"/>
        <w:contextualSpacing w:val="0"/>
        <w:rPr>
          <w:rFonts w:ascii="Century Gothic" w:hAnsi="Century Gothic"/>
        </w:rPr>
      </w:pPr>
      <w:r w:rsidRPr="00400DF5">
        <w:rPr>
          <w:rFonts w:ascii="Century Gothic" w:hAnsi="Century Gothic"/>
        </w:rPr>
        <w:t>D</w:t>
      </w:r>
      <w:r w:rsidR="00BB7F7F" w:rsidRPr="00400DF5">
        <w:rPr>
          <w:rFonts w:ascii="Century Gothic" w:hAnsi="Century Gothic"/>
        </w:rPr>
        <w:t xml:space="preserve">etermine the </w:t>
      </w:r>
      <w:r w:rsidRPr="00400DF5">
        <w:rPr>
          <w:rFonts w:ascii="Century Gothic" w:hAnsi="Century Gothic"/>
        </w:rPr>
        <w:t>role-player</w:t>
      </w:r>
      <w:r w:rsidR="007076EB" w:rsidRPr="00400DF5">
        <w:rPr>
          <w:rFonts w:ascii="Century Gothic" w:hAnsi="Century Gothic"/>
        </w:rPr>
        <w:t>’</w:t>
      </w:r>
      <w:r w:rsidRPr="00400DF5">
        <w:rPr>
          <w:rFonts w:ascii="Century Gothic" w:hAnsi="Century Gothic"/>
        </w:rPr>
        <w:t>s</w:t>
      </w:r>
      <w:r w:rsidR="00BB7F7F" w:rsidRPr="00400DF5">
        <w:rPr>
          <w:rFonts w:ascii="Century Gothic" w:hAnsi="Century Gothic"/>
        </w:rPr>
        <w:t xml:space="preserve"> ability to </w:t>
      </w:r>
      <w:r w:rsidRPr="00400DF5">
        <w:rPr>
          <w:rFonts w:ascii="Century Gothic" w:hAnsi="Century Gothic"/>
        </w:rPr>
        <w:t>fulfil</w:t>
      </w:r>
      <w:r w:rsidR="00BB7F7F" w:rsidRPr="00400DF5">
        <w:rPr>
          <w:rFonts w:ascii="Century Gothic" w:hAnsi="Century Gothic"/>
        </w:rPr>
        <w:t xml:space="preserve"> its financial obligations, such as paying wheeling charges, maintaining infrastructure, and meeting any other financial commitments.</w:t>
      </w:r>
    </w:p>
    <w:p w14:paraId="060E3100" w14:textId="544DEF3C" w:rsidR="00A51609" w:rsidRPr="009172FA" w:rsidRDefault="008624B8" w:rsidP="00541C65">
      <w:pPr>
        <w:pStyle w:val="ListParagraph"/>
        <w:numPr>
          <w:ilvl w:val="0"/>
          <w:numId w:val="4"/>
        </w:numPr>
        <w:pBdr>
          <w:top w:val="nil"/>
          <w:left w:val="nil"/>
          <w:bottom w:val="nil"/>
          <w:right w:val="nil"/>
          <w:between w:val="nil"/>
        </w:pBdr>
        <w:spacing w:beforeLines="60" w:before="144" w:afterLines="60" w:after="144" w:line="240" w:lineRule="auto"/>
        <w:contextualSpacing w:val="0"/>
        <w:rPr>
          <w:rFonts w:ascii="Century Gothic" w:hAnsi="Century Gothic"/>
        </w:rPr>
      </w:pPr>
      <w:r w:rsidRPr="009172FA">
        <w:rPr>
          <w:rFonts w:ascii="Century Gothic" w:hAnsi="Century Gothic"/>
        </w:rPr>
        <w:t>Measurement of consumed energy</w:t>
      </w:r>
    </w:p>
    <w:p w14:paraId="401F8F00" w14:textId="334F58CB" w:rsidR="008624B8" w:rsidRPr="00A51609" w:rsidRDefault="008624B8" w:rsidP="009E17B0">
      <w:pPr>
        <w:spacing w:beforeLines="60" w:before="144" w:afterLines="60" w:after="144" w:line="240" w:lineRule="auto"/>
        <w:ind w:left="360"/>
        <w:rPr>
          <w:rFonts w:ascii="Century Gothic" w:hAnsi="Century Gothic"/>
        </w:rPr>
      </w:pPr>
      <w:r w:rsidRPr="00A51609">
        <w:rPr>
          <w:rFonts w:ascii="Century Gothic" w:hAnsi="Century Gothic"/>
        </w:rPr>
        <w:lastRenderedPageBreak/>
        <w:t>Considerations need to be given to:</w:t>
      </w:r>
    </w:p>
    <w:p w14:paraId="669EA2A2" w14:textId="6E25E062" w:rsidR="004078FF" w:rsidRDefault="004078FF" w:rsidP="00871EE8">
      <w:pPr>
        <w:pStyle w:val="ListParagraph"/>
        <w:numPr>
          <w:ilvl w:val="0"/>
          <w:numId w:val="40"/>
        </w:numPr>
        <w:spacing w:beforeLines="60" w:before="144" w:afterLines="60" w:after="144" w:line="240" w:lineRule="auto"/>
        <w:contextualSpacing w:val="0"/>
        <w:rPr>
          <w:rFonts w:ascii="Century Gothic" w:hAnsi="Century Gothic"/>
        </w:rPr>
      </w:pPr>
      <w:r w:rsidRPr="00DC5656">
        <w:rPr>
          <w:rFonts w:ascii="Century Gothic" w:hAnsi="Century Gothic"/>
        </w:rPr>
        <w:t>Points where electrical energy will be measured</w:t>
      </w:r>
      <w:r w:rsidR="00572C4B">
        <w:rPr>
          <w:rFonts w:ascii="Century Gothic" w:hAnsi="Century Gothic"/>
        </w:rPr>
        <w:t>,</w:t>
      </w:r>
      <w:r w:rsidR="00C511A0">
        <w:rPr>
          <w:rFonts w:ascii="Century Gothic" w:hAnsi="Century Gothic"/>
        </w:rPr>
        <w:t xml:space="preserve"> </w:t>
      </w:r>
      <w:r w:rsidR="00572C4B">
        <w:rPr>
          <w:rFonts w:ascii="Century Gothic" w:hAnsi="Century Gothic"/>
        </w:rPr>
        <w:t>t</w:t>
      </w:r>
      <w:r w:rsidR="00B908BE">
        <w:rPr>
          <w:rFonts w:ascii="Century Gothic" w:hAnsi="Century Gothic"/>
        </w:rPr>
        <w:t>ypically</w:t>
      </w:r>
      <w:r w:rsidR="00C511A0">
        <w:rPr>
          <w:rFonts w:ascii="Century Gothic" w:hAnsi="Century Gothic"/>
        </w:rPr>
        <w:t xml:space="preserve"> the Generator and Consumer. </w:t>
      </w:r>
    </w:p>
    <w:p w14:paraId="15BDD130" w14:textId="2273A208" w:rsidR="008624B8" w:rsidRPr="00DC5656" w:rsidRDefault="00F82464" w:rsidP="00871EE8">
      <w:pPr>
        <w:pStyle w:val="ListParagraph"/>
        <w:numPr>
          <w:ilvl w:val="0"/>
          <w:numId w:val="40"/>
        </w:numPr>
        <w:spacing w:beforeLines="60" w:before="144" w:afterLines="60" w:after="144" w:line="240" w:lineRule="auto"/>
        <w:contextualSpacing w:val="0"/>
        <w:rPr>
          <w:rFonts w:ascii="Century Gothic" w:hAnsi="Century Gothic"/>
        </w:rPr>
      </w:pPr>
      <w:r w:rsidRPr="00F82464">
        <w:rPr>
          <w:rFonts w:ascii="Century Gothic" w:hAnsi="Century Gothic"/>
        </w:rPr>
        <w:t xml:space="preserve">The </w:t>
      </w:r>
      <w:r w:rsidR="0080684A">
        <w:rPr>
          <w:rFonts w:ascii="Century Gothic" w:hAnsi="Century Gothic"/>
        </w:rPr>
        <w:t>Municipality</w:t>
      </w:r>
      <w:r w:rsidRPr="00F82464">
        <w:rPr>
          <w:rFonts w:ascii="Century Gothic" w:hAnsi="Century Gothic"/>
        </w:rPr>
        <w:t xml:space="preserve"> shall provide, install and maintain four quadrant metering equipment </w:t>
      </w:r>
      <w:r w:rsidR="00BD33BE">
        <w:rPr>
          <w:rFonts w:ascii="Century Gothic" w:hAnsi="Century Gothic"/>
        </w:rPr>
        <w:t xml:space="preserve">configured to </w:t>
      </w:r>
      <w:r w:rsidR="00D60664">
        <w:rPr>
          <w:rFonts w:ascii="Century Gothic" w:hAnsi="Century Gothic"/>
        </w:rPr>
        <w:t xml:space="preserve">record </w:t>
      </w:r>
      <w:r w:rsidR="00AF2CA9">
        <w:rPr>
          <w:rFonts w:ascii="Century Gothic" w:hAnsi="Century Gothic"/>
        </w:rPr>
        <w:t>import and export power</w:t>
      </w:r>
      <w:r w:rsidR="00572C4B">
        <w:rPr>
          <w:rFonts w:ascii="Century Gothic" w:hAnsi="Century Gothic"/>
        </w:rPr>
        <w:t>,</w:t>
      </w:r>
      <w:r w:rsidR="00AF2CA9">
        <w:rPr>
          <w:rFonts w:ascii="Century Gothic" w:hAnsi="Century Gothic"/>
        </w:rPr>
        <w:t xml:space="preserve"> </w:t>
      </w:r>
      <w:r w:rsidRPr="00F82464">
        <w:rPr>
          <w:rFonts w:ascii="Century Gothic" w:hAnsi="Century Gothic"/>
        </w:rPr>
        <w:t>at the cost of the consumer</w:t>
      </w:r>
      <w:r w:rsidR="00572C4B">
        <w:rPr>
          <w:rFonts w:ascii="Century Gothic" w:hAnsi="Century Gothic"/>
        </w:rPr>
        <w:t>,</w:t>
      </w:r>
      <w:r w:rsidRPr="00F82464">
        <w:rPr>
          <w:rFonts w:ascii="Century Gothic" w:hAnsi="Century Gothic"/>
        </w:rPr>
        <w:t xml:space="preserve"> to measure the electricity at each metering point</w:t>
      </w:r>
      <w:r w:rsidR="00C511A0">
        <w:rPr>
          <w:rFonts w:ascii="Century Gothic" w:hAnsi="Century Gothic"/>
        </w:rPr>
        <w:t>.</w:t>
      </w:r>
      <w:r w:rsidRPr="00F82464">
        <w:rPr>
          <w:rFonts w:ascii="Century Gothic" w:hAnsi="Century Gothic"/>
        </w:rPr>
        <w:t xml:space="preserve"> </w:t>
      </w:r>
    </w:p>
    <w:p w14:paraId="135FEE5D" w14:textId="77EDE08C" w:rsidR="00BA0EB6" w:rsidRDefault="00BA0EB6" w:rsidP="00871EE8">
      <w:pPr>
        <w:pStyle w:val="ListParagraph"/>
        <w:numPr>
          <w:ilvl w:val="0"/>
          <w:numId w:val="40"/>
        </w:numPr>
        <w:spacing w:beforeLines="60" w:before="144" w:afterLines="60" w:after="144" w:line="240" w:lineRule="auto"/>
        <w:contextualSpacing w:val="0"/>
        <w:rPr>
          <w:rFonts w:ascii="Century Gothic" w:hAnsi="Century Gothic"/>
        </w:rPr>
      </w:pPr>
      <w:r>
        <w:rPr>
          <w:rFonts w:ascii="Century Gothic" w:hAnsi="Century Gothic"/>
        </w:rPr>
        <w:t>T</w:t>
      </w:r>
      <w:r w:rsidRPr="00C812B0">
        <w:rPr>
          <w:rFonts w:ascii="Century Gothic" w:hAnsi="Century Gothic"/>
        </w:rPr>
        <w:t xml:space="preserve">he generator to install a permanent </w:t>
      </w:r>
      <w:r w:rsidR="00AA707E">
        <w:rPr>
          <w:rFonts w:ascii="Century Gothic" w:hAnsi="Century Gothic"/>
        </w:rPr>
        <w:t>Quality of Supply (</w:t>
      </w:r>
      <w:r w:rsidRPr="00C812B0">
        <w:rPr>
          <w:rFonts w:ascii="Century Gothic" w:hAnsi="Century Gothic"/>
        </w:rPr>
        <w:t>QOS</w:t>
      </w:r>
      <w:r w:rsidR="00AA707E">
        <w:rPr>
          <w:rFonts w:ascii="Century Gothic" w:hAnsi="Century Gothic"/>
        </w:rPr>
        <w:t>)</w:t>
      </w:r>
      <w:r w:rsidRPr="00C812B0">
        <w:rPr>
          <w:rFonts w:ascii="Century Gothic" w:hAnsi="Century Gothic"/>
        </w:rPr>
        <w:t xml:space="preserve"> recorder on the busbar for continuous monitoring of the QOS parameters</w:t>
      </w:r>
    </w:p>
    <w:p w14:paraId="2E0EDE47" w14:textId="55395432" w:rsidR="008624B8" w:rsidRPr="00DC5656" w:rsidRDefault="008624B8" w:rsidP="00871EE8">
      <w:pPr>
        <w:pStyle w:val="ListParagraph"/>
        <w:numPr>
          <w:ilvl w:val="0"/>
          <w:numId w:val="40"/>
        </w:numPr>
        <w:spacing w:beforeLines="60" w:before="144" w:afterLines="60" w:after="144" w:line="240" w:lineRule="auto"/>
        <w:contextualSpacing w:val="0"/>
        <w:rPr>
          <w:rFonts w:ascii="Century Gothic" w:hAnsi="Century Gothic"/>
        </w:rPr>
      </w:pPr>
      <w:r w:rsidRPr="00DC5656">
        <w:rPr>
          <w:rFonts w:ascii="Century Gothic" w:hAnsi="Century Gothic"/>
        </w:rPr>
        <w:t>Frequency of reconciliation</w:t>
      </w:r>
      <w:r w:rsidR="00C511A0">
        <w:rPr>
          <w:rFonts w:ascii="Century Gothic" w:hAnsi="Century Gothic"/>
        </w:rPr>
        <w:t xml:space="preserve"> of measured data</w:t>
      </w:r>
    </w:p>
    <w:p w14:paraId="0B721A58" w14:textId="77777777" w:rsidR="008624B8" w:rsidRDefault="008624B8" w:rsidP="00871EE8">
      <w:pPr>
        <w:pStyle w:val="ListParagraph"/>
        <w:numPr>
          <w:ilvl w:val="0"/>
          <w:numId w:val="40"/>
        </w:numPr>
        <w:spacing w:beforeLines="60" w:before="144" w:afterLines="60" w:after="144" w:line="240" w:lineRule="auto"/>
        <w:contextualSpacing w:val="0"/>
        <w:rPr>
          <w:rFonts w:ascii="Century Gothic" w:hAnsi="Century Gothic"/>
        </w:rPr>
      </w:pPr>
      <w:r w:rsidRPr="00DC5656">
        <w:rPr>
          <w:rFonts w:ascii="Century Gothic" w:hAnsi="Century Gothic"/>
        </w:rPr>
        <w:t>How differences from different meters would be dealt with</w:t>
      </w:r>
    </w:p>
    <w:p w14:paraId="0AA62D50" w14:textId="3296BA7C" w:rsidR="007128EC" w:rsidRDefault="00E4503C" w:rsidP="00871EE8">
      <w:pPr>
        <w:pStyle w:val="ListParagraph"/>
        <w:numPr>
          <w:ilvl w:val="0"/>
          <w:numId w:val="40"/>
        </w:numPr>
        <w:spacing w:beforeLines="60" w:before="144" w:afterLines="60" w:after="144" w:line="240" w:lineRule="auto"/>
        <w:contextualSpacing w:val="0"/>
        <w:rPr>
          <w:rFonts w:ascii="Century Gothic" w:hAnsi="Century Gothic"/>
        </w:rPr>
      </w:pPr>
      <w:r w:rsidRPr="00E4503C">
        <w:rPr>
          <w:rFonts w:ascii="Century Gothic" w:hAnsi="Century Gothic"/>
        </w:rPr>
        <w:t>Energy will be wheeled ex</w:t>
      </w:r>
      <w:r w:rsidR="002B28A3">
        <w:rPr>
          <w:rFonts w:ascii="Century Gothic" w:hAnsi="Century Gothic"/>
        </w:rPr>
        <w:t>cluding</w:t>
      </w:r>
      <w:r w:rsidRPr="00E4503C">
        <w:rPr>
          <w:rFonts w:ascii="Century Gothic" w:hAnsi="Century Gothic"/>
        </w:rPr>
        <w:t xml:space="preserve"> green benefits and the </w:t>
      </w:r>
      <w:r>
        <w:rPr>
          <w:rFonts w:ascii="Century Gothic" w:hAnsi="Century Gothic"/>
        </w:rPr>
        <w:t>Municipality</w:t>
      </w:r>
      <w:r w:rsidRPr="00E4503C">
        <w:rPr>
          <w:rFonts w:ascii="Century Gothic" w:hAnsi="Century Gothic"/>
        </w:rPr>
        <w:t xml:space="preserve"> will not be responsible for the verification or certification of green benefits.</w:t>
      </w:r>
      <w:r>
        <w:rPr>
          <w:rFonts w:ascii="Century Gothic" w:hAnsi="Century Gothic"/>
        </w:rPr>
        <w:t xml:space="preserve"> </w:t>
      </w:r>
    </w:p>
    <w:p w14:paraId="15133A05" w14:textId="43128A78" w:rsidR="00EB3755" w:rsidRDefault="00EB3755" w:rsidP="00871EE8">
      <w:pPr>
        <w:pStyle w:val="ListParagraph"/>
        <w:numPr>
          <w:ilvl w:val="0"/>
          <w:numId w:val="40"/>
        </w:numPr>
        <w:spacing w:beforeLines="60" w:before="144" w:afterLines="60" w:after="144" w:line="240" w:lineRule="auto"/>
        <w:contextualSpacing w:val="0"/>
        <w:rPr>
          <w:rFonts w:ascii="Century Gothic" w:hAnsi="Century Gothic"/>
        </w:rPr>
      </w:pPr>
      <w:r w:rsidRPr="00EB3755">
        <w:rPr>
          <w:rFonts w:ascii="Century Gothic" w:hAnsi="Century Gothic"/>
        </w:rPr>
        <w:t>Any electrical energy not consumed by the off-taker will not be credited, i.e. no banking of energy will be allowed and no compensation will be paid</w:t>
      </w:r>
      <w:r w:rsidR="007E4191">
        <w:rPr>
          <w:rFonts w:ascii="Century Gothic" w:hAnsi="Century Gothic"/>
        </w:rPr>
        <w:t xml:space="preserve"> by the Municipality</w:t>
      </w:r>
      <w:r w:rsidRPr="00EB3755">
        <w:rPr>
          <w:rFonts w:ascii="Century Gothic" w:hAnsi="Century Gothic"/>
        </w:rPr>
        <w:t xml:space="preserve"> to the generator</w:t>
      </w:r>
      <w:r w:rsidR="007E4191">
        <w:rPr>
          <w:rFonts w:ascii="Century Gothic" w:hAnsi="Century Gothic"/>
        </w:rPr>
        <w:t xml:space="preserve">. </w:t>
      </w:r>
    </w:p>
    <w:p w14:paraId="33695F90" w14:textId="699E0FB1" w:rsidR="008624B8" w:rsidRPr="009172FA" w:rsidRDefault="00CF678F" w:rsidP="00541C65">
      <w:pPr>
        <w:pStyle w:val="ListParagraph"/>
        <w:numPr>
          <w:ilvl w:val="0"/>
          <w:numId w:val="4"/>
        </w:numPr>
        <w:pBdr>
          <w:top w:val="nil"/>
          <w:left w:val="nil"/>
          <w:bottom w:val="nil"/>
          <w:right w:val="nil"/>
          <w:between w:val="nil"/>
        </w:pBdr>
        <w:spacing w:beforeLines="60" w:before="144" w:afterLines="60" w:after="144" w:line="240" w:lineRule="auto"/>
        <w:contextualSpacing w:val="0"/>
        <w:rPr>
          <w:rFonts w:ascii="Century Gothic" w:hAnsi="Century Gothic"/>
        </w:rPr>
      </w:pPr>
      <w:r w:rsidRPr="009172FA">
        <w:rPr>
          <w:rFonts w:ascii="Century Gothic" w:hAnsi="Century Gothic"/>
        </w:rPr>
        <w:t>Company</w:t>
      </w:r>
      <w:r w:rsidR="008624B8" w:rsidRPr="009172FA">
        <w:rPr>
          <w:rFonts w:ascii="Century Gothic" w:hAnsi="Century Gothic"/>
        </w:rPr>
        <w:t xml:space="preserve"> registration</w:t>
      </w:r>
      <w:r w:rsidRPr="009172FA">
        <w:rPr>
          <w:rFonts w:ascii="Century Gothic" w:hAnsi="Century Gothic"/>
        </w:rPr>
        <w:t xml:space="preserve"> requirements</w:t>
      </w:r>
    </w:p>
    <w:p w14:paraId="6C83D6A0" w14:textId="77777777" w:rsidR="008624B8" w:rsidRPr="00DC5656" w:rsidRDefault="008624B8" w:rsidP="00871EE8">
      <w:pPr>
        <w:pStyle w:val="ListParagraph"/>
        <w:numPr>
          <w:ilvl w:val="0"/>
          <w:numId w:val="40"/>
        </w:numPr>
        <w:spacing w:beforeLines="60" w:before="144" w:afterLines="60" w:after="144" w:line="240" w:lineRule="auto"/>
        <w:contextualSpacing w:val="0"/>
        <w:rPr>
          <w:rFonts w:ascii="Century Gothic" w:hAnsi="Century Gothic"/>
        </w:rPr>
      </w:pPr>
      <w:r w:rsidRPr="00DC5656">
        <w:rPr>
          <w:rFonts w:ascii="Century Gothic" w:hAnsi="Century Gothic"/>
        </w:rPr>
        <w:t>Company registration certificate/ copy of identity document</w:t>
      </w:r>
    </w:p>
    <w:p w14:paraId="4A3EE8E0" w14:textId="77777777" w:rsidR="00CF678F" w:rsidRDefault="00CF678F" w:rsidP="00871EE8">
      <w:pPr>
        <w:pStyle w:val="ListParagraph"/>
        <w:numPr>
          <w:ilvl w:val="0"/>
          <w:numId w:val="40"/>
        </w:numPr>
        <w:spacing w:beforeLines="60" w:before="144" w:afterLines="60" w:after="144" w:line="240" w:lineRule="auto"/>
        <w:contextualSpacing w:val="0"/>
        <w:rPr>
          <w:rFonts w:ascii="Century Gothic" w:hAnsi="Century Gothic"/>
        </w:rPr>
      </w:pPr>
      <w:r w:rsidRPr="00DC5656">
        <w:rPr>
          <w:rFonts w:ascii="Century Gothic" w:hAnsi="Century Gothic"/>
        </w:rPr>
        <w:t>Shareholder structure</w:t>
      </w:r>
    </w:p>
    <w:p w14:paraId="65C0AEA0" w14:textId="65800C4C" w:rsidR="0019310C" w:rsidRDefault="000E430B" w:rsidP="00871EE8">
      <w:pPr>
        <w:pStyle w:val="ListParagraph"/>
        <w:numPr>
          <w:ilvl w:val="0"/>
          <w:numId w:val="40"/>
        </w:numPr>
        <w:spacing w:beforeLines="60" w:before="144" w:afterLines="60" w:after="144" w:line="240" w:lineRule="auto"/>
        <w:contextualSpacing w:val="0"/>
        <w:rPr>
          <w:rFonts w:ascii="Century Gothic" w:hAnsi="Century Gothic"/>
        </w:rPr>
      </w:pPr>
      <w:r>
        <w:rPr>
          <w:rFonts w:ascii="Century Gothic" w:hAnsi="Century Gothic"/>
        </w:rPr>
        <w:t xml:space="preserve">It is a consideration whether </w:t>
      </w:r>
      <w:r w:rsidR="00B64305" w:rsidRPr="00B64305">
        <w:rPr>
          <w:rFonts w:ascii="Century Gothic" w:hAnsi="Century Gothic"/>
        </w:rPr>
        <w:t>applicants will have to</w:t>
      </w:r>
      <w:r w:rsidR="00B64305">
        <w:rPr>
          <w:rFonts w:ascii="Century Gothic" w:hAnsi="Century Gothic"/>
        </w:rPr>
        <w:t xml:space="preserve"> </w:t>
      </w:r>
      <w:r w:rsidR="00B64305" w:rsidRPr="00B64305">
        <w:rPr>
          <w:rFonts w:ascii="Century Gothic" w:hAnsi="Century Gothic"/>
        </w:rPr>
        <w:t>demonstrate some level of Broad-Based Black Economic Empowermen</w:t>
      </w:r>
      <w:r w:rsidR="00342422">
        <w:rPr>
          <w:rFonts w:ascii="Century Gothic" w:hAnsi="Century Gothic"/>
        </w:rPr>
        <w:t xml:space="preserve">t. </w:t>
      </w:r>
    </w:p>
    <w:p w14:paraId="2D458E31" w14:textId="22DC8C18" w:rsidR="00B6755A" w:rsidRPr="009172FA" w:rsidRDefault="00B6755A" w:rsidP="00541C65">
      <w:pPr>
        <w:pStyle w:val="ListParagraph"/>
        <w:numPr>
          <w:ilvl w:val="0"/>
          <w:numId w:val="4"/>
        </w:numPr>
        <w:pBdr>
          <w:top w:val="nil"/>
          <w:left w:val="nil"/>
          <w:bottom w:val="nil"/>
          <w:right w:val="nil"/>
          <w:between w:val="nil"/>
        </w:pBdr>
        <w:spacing w:beforeLines="60" w:before="144" w:afterLines="60" w:after="144" w:line="240" w:lineRule="auto"/>
        <w:contextualSpacing w:val="0"/>
        <w:rPr>
          <w:rFonts w:ascii="Century Gothic" w:hAnsi="Century Gothic"/>
        </w:rPr>
      </w:pPr>
      <w:r w:rsidRPr="009172FA">
        <w:rPr>
          <w:rFonts w:ascii="Century Gothic" w:hAnsi="Century Gothic"/>
        </w:rPr>
        <w:t>General Considerations</w:t>
      </w:r>
    </w:p>
    <w:p w14:paraId="033DC749" w14:textId="2B07364B" w:rsidR="00B6755A" w:rsidRDefault="00B6755A" w:rsidP="00871EE8">
      <w:pPr>
        <w:pStyle w:val="ListParagraph"/>
        <w:numPr>
          <w:ilvl w:val="0"/>
          <w:numId w:val="40"/>
        </w:numPr>
        <w:spacing w:beforeLines="60" w:before="144" w:afterLines="60" w:after="144" w:line="240" w:lineRule="auto"/>
        <w:contextualSpacing w:val="0"/>
        <w:rPr>
          <w:rFonts w:ascii="Century Gothic" w:hAnsi="Century Gothic"/>
        </w:rPr>
      </w:pPr>
      <w:r w:rsidRPr="00B6755A">
        <w:rPr>
          <w:rFonts w:ascii="Century Gothic" w:hAnsi="Century Gothic"/>
        </w:rPr>
        <w:t>All cost</w:t>
      </w:r>
      <w:r w:rsidR="009A3269">
        <w:rPr>
          <w:rFonts w:ascii="Century Gothic" w:hAnsi="Century Gothic"/>
        </w:rPr>
        <w:t>s</w:t>
      </w:r>
      <w:r w:rsidRPr="00B6755A">
        <w:rPr>
          <w:rFonts w:ascii="Century Gothic" w:hAnsi="Century Gothic"/>
        </w:rPr>
        <w:t xml:space="preserve"> applicable to the connection of the generator to the grid will be for the generators account</w:t>
      </w:r>
      <w:r w:rsidR="008E30A8">
        <w:rPr>
          <w:rFonts w:ascii="Century Gothic" w:hAnsi="Century Gothic"/>
        </w:rPr>
        <w:t>.</w:t>
      </w:r>
    </w:p>
    <w:p w14:paraId="4A636478" w14:textId="11FD9289" w:rsidR="00124108" w:rsidRDefault="00F95238" w:rsidP="00F95238">
      <w:pPr>
        <w:pStyle w:val="ListParagraph"/>
        <w:numPr>
          <w:ilvl w:val="0"/>
          <w:numId w:val="4"/>
        </w:numPr>
        <w:pBdr>
          <w:top w:val="nil"/>
          <w:left w:val="nil"/>
          <w:bottom w:val="nil"/>
          <w:right w:val="nil"/>
          <w:between w:val="nil"/>
        </w:pBdr>
        <w:spacing w:beforeLines="60" w:before="144" w:afterLines="60" w:after="144" w:line="240" w:lineRule="auto"/>
        <w:contextualSpacing w:val="0"/>
        <w:rPr>
          <w:rFonts w:ascii="Century Gothic" w:hAnsi="Century Gothic"/>
        </w:rPr>
      </w:pPr>
      <w:r>
        <w:rPr>
          <w:rFonts w:ascii="Century Gothic" w:hAnsi="Century Gothic"/>
        </w:rPr>
        <w:t>Other utilities</w:t>
      </w:r>
    </w:p>
    <w:p w14:paraId="26484505" w14:textId="597F620C" w:rsidR="00F95238" w:rsidRPr="00DC5656" w:rsidRDefault="00F95238" w:rsidP="00871EE8">
      <w:pPr>
        <w:pStyle w:val="ListParagraph"/>
        <w:numPr>
          <w:ilvl w:val="0"/>
          <w:numId w:val="40"/>
        </w:numPr>
        <w:spacing w:beforeLines="60" w:before="144" w:afterLines="60" w:after="144" w:line="240" w:lineRule="auto"/>
        <w:contextualSpacing w:val="0"/>
        <w:rPr>
          <w:rFonts w:ascii="Century Gothic" w:hAnsi="Century Gothic"/>
        </w:rPr>
      </w:pPr>
      <w:r>
        <w:rPr>
          <w:rFonts w:ascii="Century Gothic" w:hAnsi="Century Gothic"/>
        </w:rPr>
        <w:t>Being up to date on payments for water, sewer, refuse and rates</w:t>
      </w:r>
      <w:r w:rsidR="003B5075">
        <w:rPr>
          <w:rFonts w:ascii="Century Gothic" w:hAnsi="Century Gothic"/>
        </w:rPr>
        <w:t>.</w:t>
      </w:r>
    </w:p>
    <w:p w14:paraId="5156F6FF" w14:textId="4C0832DB" w:rsidR="00F327E7" w:rsidRPr="00E55368" w:rsidRDefault="00F327E7" w:rsidP="009E17B0">
      <w:pPr>
        <w:pStyle w:val="Heading1"/>
        <w:spacing w:beforeLines="60" w:before="144" w:afterLines="60" w:after="144" w:line="240" w:lineRule="auto"/>
      </w:pPr>
      <w:bookmarkStart w:id="35" w:name="_Toc134598051"/>
      <w:bookmarkStart w:id="36" w:name="_Toc145484200"/>
      <w:bookmarkEnd w:id="21"/>
      <w:r w:rsidRPr="00E55368">
        <w:t>Application Process</w:t>
      </w:r>
      <w:bookmarkEnd w:id="36"/>
      <w:r w:rsidRPr="00E55368">
        <w:t xml:space="preserve"> </w:t>
      </w:r>
    </w:p>
    <w:p w14:paraId="1287097C" w14:textId="77777777" w:rsidR="00EF681F" w:rsidRPr="00576D20" w:rsidRDefault="00EF681F" w:rsidP="009E17B0">
      <w:pPr>
        <w:shd w:val="clear" w:color="auto" w:fill="F2F2F2" w:themeFill="background1" w:themeFillShade="F2"/>
        <w:spacing w:beforeLines="60" w:before="144" w:afterLines="60" w:after="144" w:line="240" w:lineRule="auto"/>
        <w:rPr>
          <w:rFonts w:ascii="Century Gothic" w:hAnsi="Century Gothic"/>
          <w:b/>
          <w:bCs/>
          <w:u w:val="single"/>
        </w:rPr>
      </w:pPr>
      <w:r w:rsidRPr="00576D20">
        <w:rPr>
          <w:rFonts w:ascii="Segoe UI Emoji" w:hAnsi="Segoe UI Emoji" w:cs="Segoe UI Emoji"/>
        </w:rPr>
        <w:t>🔍</w:t>
      </w:r>
      <w:r w:rsidRPr="00576D20">
        <w:rPr>
          <w:rFonts w:ascii="Century Gothic" w:hAnsi="Century Gothic"/>
          <w:b/>
          <w:bCs/>
          <w:u w:val="single"/>
        </w:rPr>
        <w:t xml:space="preserve"> Explanatory notes: </w:t>
      </w:r>
    </w:p>
    <w:p w14:paraId="6CEA9697" w14:textId="71C0ECCF" w:rsidR="00733376" w:rsidRDefault="00CB7974" w:rsidP="009E17B0">
      <w:pPr>
        <w:shd w:val="clear" w:color="auto" w:fill="F2F2F2" w:themeFill="background1" w:themeFillShade="F2"/>
        <w:spacing w:beforeLines="60" w:before="144" w:afterLines="60" w:after="144" w:line="240" w:lineRule="auto"/>
        <w:rPr>
          <w:rFonts w:ascii="Century Gothic" w:hAnsi="Century Gothic" w:cs="Segoe UI Emoji"/>
          <w:i/>
          <w:iCs/>
        </w:rPr>
      </w:pPr>
      <w:r w:rsidRPr="00CB7974">
        <w:rPr>
          <w:rFonts w:ascii="Century Gothic" w:hAnsi="Century Gothic" w:cs="Segoe UI Emoji"/>
          <w:i/>
          <w:iCs/>
        </w:rPr>
        <w:t xml:space="preserve">The </w:t>
      </w:r>
      <w:r w:rsidR="00CC6D7D">
        <w:rPr>
          <w:rFonts w:ascii="Century Gothic" w:hAnsi="Century Gothic" w:cs="Segoe UI Emoji"/>
          <w:i/>
          <w:iCs/>
        </w:rPr>
        <w:t>Municipality</w:t>
      </w:r>
      <w:r w:rsidRPr="00CB7974">
        <w:rPr>
          <w:rFonts w:ascii="Century Gothic" w:hAnsi="Century Gothic" w:cs="Segoe UI Emoji"/>
          <w:i/>
          <w:iCs/>
        </w:rPr>
        <w:t xml:space="preserve"> is responsible for facilitating the application process for wheeling electricity. They ensure the availability of the application form, assist applicants in completing it, and coordinate with other municipal departments for necessary approvals. The official reviews completed applications, assesses them based on predetermined criteria, and provides written notification of the outcome. They may conduct inspections if required and monitor compliance with technical standards and regulations. Once approved, the official facilitates the connection to the municipal electrical network, including meter installation and tariff changes. They enforce compliance with billing procedures, insurance requirements, and permits throughout the operation of the wheeling arrangement.</w:t>
      </w:r>
    </w:p>
    <w:p w14:paraId="07519C53" w14:textId="7DB435D3" w:rsidR="00A5754D" w:rsidRDefault="00D17FB9" w:rsidP="009E17B0">
      <w:pPr>
        <w:shd w:val="clear" w:color="auto" w:fill="F2F2F2" w:themeFill="background1" w:themeFillShade="F2"/>
        <w:spacing w:beforeLines="60" w:before="144" w:afterLines="60" w:after="144" w:line="240" w:lineRule="auto"/>
        <w:rPr>
          <w:rFonts w:ascii="Century Gothic" w:hAnsi="Century Gothic" w:cs="Segoe UI Emoji"/>
          <w:i/>
          <w:iCs/>
        </w:rPr>
      </w:pPr>
      <w:r>
        <w:rPr>
          <w:rFonts w:ascii="Century Gothic" w:hAnsi="Century Gothic" w:cs="Segoe UI Emoji"/>
          <w:i/>
          <w:iCs/>
        </w:rPr>
        <w:t xml:space="preserve">Below please find </w:t>
      </w:r>
      <w:r w:rsidR="00A5754D">
        <w:rPr>
          <w:rFonts w:ascii="Century Gothic" w:hAnsi="Century Gothic" w:cs="Segoe UI Emoji"/>
          <w:i/>
          <w:iCs/>
        </w:rPr>
        <w:t>an</w:t>
      </w:r>
      <w:r>
        <w:rPr>
          <w:rFonts w:ascii="Century Gothic" w:hAnsi="Century Gothic" w:cs="Segoe UI Emoji"/>
          <w:i/>
          <w:iCs/>
        </w:rPr>
        <w:t xml:space="preserve"> embedded </w:t>
      </w:r>
      <w:r w:rsidR="00A5754D">
        <w:rPr>
          <w:rFonts w:ascii="Century Gothic" w:hAnsi="Century Gothic" w:cs="Segoe UI Emoji"/>
          <w:i/>
          <w:iCs/>
        </w:rPr>
        <w:t>application template that can be adapted by the Municipality.</w:t>
      </w:r>
    </w:p>
    <w:bookmarkStart w:id="37" w:name="_MON_1755246921"/>
    <w:bookmarkEnd w:id="37"/>
    <w:p w14:paraId="6213EAB3" w14:textId="061BA9D6" w:rsidR="00A5754D" w:rsidRDefault="00A5754D" w:rsidP="009E17B0">
      <w:pPr>
        <w:shd w:val="clear" w:color="auto" w:fill="F2F2F2" w:themeFill="background1" w:themeFillShade="F2"/>
        <w:spacing w:beforeLines="60" w:before="144" w:afterLines="60" w:after="144" w:line="240" w:lineRule="auto"/>
        <w:rPr>
          <w:rFonts w:ascii="Century Gothic" w:hAnsi="Century Gothic" w:cs="Segoe UI Emoji"/>
          <w:i/>
          <w:iCs/>
        </w:rPr>
      </w:pPr>
      <w:r>
        <w:rPr>
          <w:rFonts w:ascii="Century Gothic" w:hAnsi="Century Gothic" w:cs="Segoe UI Emoji"/>
          <w:i/>
          <w:iCs/>
        </w:rPr>
        <w:object w:dxaOrig="1508" w:dyaOrig="983" w14:anchorId="6E4F335B">
          <v:shape id="_x0000_i1026" type="#_x0000_t75" style="width:76.1pt;height:49.6pt" o:ole="" o:bordertopcolor="this" o:borderleftcolor="this" o:borderbottomcolor="this" o:borderrightcolor="this">
            <v:imagedata r:id="rId53" o:title=""/>
            <w10:bordertop type="single" width="18"/>
            <w10:borderleft type="single" width="18"/>
            <w10:borderbottom type="single" width="18"/>
            <w10:borderright type="single" width="18"/>
          </v:shape>
          <o:OLEObject Type="Embed" ProgID="Word.Document.12" ShapeID="_x0000_i1026" DrawAspect="Icon" ObjectID="_1756099368" r:id="rId54">
            <o:FieldCodes>\s</o:FieldCodes>
          </o:OLEObject>
        </w:object>
      </w:r>
    </w:p>
    <w:p w14:paraId="237C097A" w14:textId="15E82EA1" w:rsidR="00D17FB9" w:rsidRPr="00CB7974" w:rsidRDefault="00A5754D" w:rsidP="009E17B0">
      <w:pPr>
        <w:shd w:val="clear" w:color="auto" w:fill="F2F2F2" w:themeFill="background1" w:themeFillShade="F2"/>
        <w:spacing w:beforeLines="60" w:before="144" w:afterLines="60" w:after="144" w:line="240" w:lineRule="auto"/>
        <w:rPr>
          <w:rFonts w:ascii="Century Gothic" w:hAnsi="Century Gothic" w:cs="Segoe UI Emoji"/>
          <w:i/>
          <w:iCs/>
        </w:rPr>
      </w:pPr>
      <w:r>
        <w:rPr>
          <w:rFonts w:ascii="Century Gothic" w:hAnsi="Century Gothic" w:cs="Segoe UI Emoji"/>
          <w:i/>
          <w:iCs/>
        </w:rPr>
        <w:t xml:space="preserve"> </w:t>
      </w:r>
    </w:p>
    <w:p w14:paraId="504818F0" w14:textId="03769E30" w:rsidR="00263D63" w:rsidRDefault="00EF681F" w:rsidP="009E17B0">
      <w:pPr>
        <w:spacing w:beforeLines="60" w:before="144" w:afterLines="60" w:after="144" w:line="240" w:lineRule="auto"/>
        <w:rPr>
          <w:rFonts w:ascii="Century Gothic" w:hAnsi="Century Gothic"/>
          <w:b/>
          <w:bCs/>
          <w:u w:val="single"/>
        </w:rPr>
      </w:pPr>
      <w:r w:rsidRPr="00FE49F7">
        <w:rPr>
          <w:rFonts w:ascii="Segoe UI Emoji" w:hAnsi="Segoe UI Emoji" w:cs="Segoe UI Emoji"/>
          <w:b/>
          <w:bCs/>
          <w:u w:val="single"/>
        </w:rPr>
        <w:lastRenderedPageBreak/>
        <w:t>💡</w:t>
      </w:r>
      <w:r w:rsidRPr="00FE49F7">
        <w:rPr>
          <w:rFonts w:ascii="Century Gothic" w:hAnsi="Century Gothic"/>
          <w:b/>
          <w:bCs/>
          <w:u w:val="single"/>
        </w:rPr>
        <w:t>Illustrative example</w:t>
      </w:r>
      <w:r w:rsidR="00263D63">
        <w:rPr>
          <w:rFonts w:ascii="Century Gothic" w:hAnsi="Century Gothic"/>
          <w:b/>
          <w:bCs/>
          <w:u w:val="single"/>
        </w:rPr>
        <w:t xml:space="preserve">: </w:t>
      </w:r>
    </w:p>
    <w:p w14:paraId="104E8735" w14:textId="3ABB7265" w:rsidR="00F327E7" w:rsidRPr="00163A1E" w:rsidRDefault="00F327E7" w:rsidP="009E17B0">
      <w:pPr>
        <w:spacing w:beforeLines="60" w:before="144" w:afterLines="60" w:after="144" w:line="240" w:lineRule="auto"/>
        <w:rPr>
          <w:rFonts w:ascii="Century Gothic" w:hAnsi="Century Gothic"/>
        </w:rPr>
      </w:pPr>
      <w:r w:rsidRPr="00163A1E">
        <w:rPr>
          <w:rFonts w:ascii="Century Gothic" w:hAnsi="Century Gothic"/>
        </w:rPr>
        <w:t>Wheeling applications will be handled on a case-by-case basis</w:t>
      </w:r>
      <w:r w:rsidR="00596B98">
        <w:rPr>
          <w:rFonts w:ascii="Century Gothic" w:hAnsi="Century Gothic"/>
        </w:rPr>
        <w:t>, and grid studies may need to be completed.</w:t>
      </w:r>
      <w:r w:rsidR="00E11118">
        <w:rPr>
          <w:rFonts w:ascii="Century Gothic" w:hAnsi="Century Gothic"/>
        </w:rPr>
        <w:t xml:space="preserve"> </w:t>
      </w:r>
    </w:p>
    <w:p w14:paraId="2FA5A551" w14:textId="491BE22D" w:rsidR="00F327E7" w:rsidRPr="00163A1E" w:rsidRDefault="00F327E7" w:rsidP="009E17B0">
      <w:pPr>
        <w:spacing w:beforeLines="60" w:before="144" w:afterLines="60" w:after="144" w:line="240" w:lineRule="auto"/>
        <w:rPr>
          <w:rFonts w:ascii="Century Gothic" w:hAnsi="Century Gothic"/>
        </w:rPr>
      </w:pPr>
      <w:r w:rsidRPr="00163A1E">
        <w:rPr>
          <w:rFonts w:ascii="Century Gothic" w:hAnsi="Century Gothic"/>
        </w:rPr>
        <w:t xml:space="preserve">Contact: </w:t>
      </w:r>
      <w:hyperlink r:id="rId55" w:history="1"/>
      <w:hyperlink r:id="rId56" w:history="1">
        <w:r w:rsidR="00165EA9" w:rsidRPr="00165EA9">
          <w:rPr>
            <w:rStyle w:val="Hyperlink"/>
          </w:rPr>
          <w:t>mailto:contact@municipality.gov.za</w:t>
        </w:r>
      </w:hyperlink>
      <w:r w:rsidRPr="00163A1E">
        <w:rPr>
          <w:rFonts w:ascii="Century Gothic" w:hAnsi="Century Gothic"/>
        </w:rPr>
        <w:t xml:space="preserve"> </w:t>
      </w:r>
    </w:p>
    <w:p w14:paraId="15C86EB0" w14:textId="120ACF93" w:rsidR="00040F21" w:rsidRDefault="00040F21" w:rsidP="009E17B0">
      <w:pPr>
        <w:pStyle w:val="BodyText"/>
        <w:spacing w:beforeLines="60" w:before="144" w:afterLines="60" w:after="144" w:line="240" w:lineRule="auto"/>
        <w:rPr>
          <w:rFonts w:ascii="Century Gothic" w:hAnsi="Century Gothic"/>
        </w:rPr>
      </w:pPr>
      <w:r>
        <w:rPr>
          <w:rFonts w:ascii="Century Gothic" w:hAnsi="Century Gothic"/>
        </w:rPr>
        <w:t>Below is the recommended process:</w:t>
      </w:r>
    </w:p>
    <w:p w14:paraId="00C3DC96" w14:textId="4DC0A6F2" w:rsidR="00F327E7" w:rsidRPr="00163A1E" w:rsidRDefault="00F327E7" w:rsidP="009E17B0">
      <w:pPr>
        <w:pStyle w:val="BodyText"/>
        <w:spacing w:beforeLines="60" w:before="144" w:afterLines="60" w:after="144" w:line="240" w:lineRule="auto"/>
        <w:rPr>
          <w:rFonts w:ascii="Century Gothic" w:hAnsi="Century Gothic"/>
        </w:rPr>
      </w:pPr>
      <w:r w:rsidRPr="00163A1E">
        <w:rPr>
          <w:rFonts w:ascii="Century Gothic" w:hAnsi="Century Gothic"/>
        </w:rPr>
        <w:t xml:space="preserve">The </w:t>
      </w:r>
      <w:r w:rsidRPr="00163A1E">
        <w:rPr>
          <w:rFonts w:ascii="Century Gothic" w:hAnsi="Century Gothic"/>
          <w:i/>
        </w:rPr>
        <w:t>Application to Wheel Energy</w:t>
      </w:r>
      <w:r w:rsidRPr="00163A1E">
        <w:rPr>
          <w:rFonts w:ascii="Century Gothic" w:hAnsi="Century Gothic"/>
        </w:rPr>
        <w:t xml:space="preserve"> </w:t>
      </w:r>
      <w:r w:rsidRPr="00831A39">
        <w:rPr>
          <w:rFonts w:ascii="Century Gothic" w:hAnsi="Century Gothic"/>
          <w:i/>
          <w:iCs/>
        </w:rPr>
        <w:t>form</w:t>
      </w:r>
      <w:r w:rsidRPr="00163A1E">
        <w:rPr>
          <w:rFonts w:ascii="Century Gothic" w:hAnsi="Century Gothic"/>
        </w:rPr>
        <w:t xml:space="preserve"> shall be completed for all applications to wheel energy </w:t>
      </w:r>
      <w:r w:rsidR="009B47CB">
        <w:rPr>
          <w:rFonts w:ascii="Century Gothic" w:hAnsi="Century Gothic"/>
        </w:rPr>
        <w:t>in</w:t>
      </w:r>
      <w:r w:rsidRPr="00163A1E">
        <w:rPr>
          <w:rFonts w:ascii="Century Gothic" w:hAnsi="Century Gothic"/>
        </w:rPr>
        <w:t xml:space="preserve"> the municipal electrical network. The forms are available on the Municipality's website or from the electricity department offices.</w:t>
      </w:r>
    </w:p>
    <w:p w14:paraId="4AA39C7E" w14:textId="01EE9F36" w:rsidR="007B430E" w:rsidRDefault="00B8452B" w:rsidP="009E17B0">
      <w:pPr>
        <w:pStyle w:val="BodyText"/>
        <w:spacing w:beforeLines="60" w:before="144" w:afterLines="60" w:after="144" w:line="240" w:lineRule="auto"/>
        <w:rPr>
          <w:rFonts w:ascii="Century Gothic" w:hAnsi="Century Gothic" w:cs="Arial"/>
          <w:b/>
        </w:rPr>
      </w:pPr>
      <w:bookmarkStart w:id="38" w:name="_Toc422474361"/>
      <w:r>
        <w:rPr>
          <w:rFonts w:ascii="Century Gothic" w:hAnsi="Century Gothic" w:cs="Arial"/>
          <w:b/>
          <w:noProof/>
        </w:rPr>
        <w:drawing>
          <wp:inline distT="0" distB="0" distL="0" distR="0" wp14:anchorId="1F05DF04" wp14:editId="24030D76">
            <wp:extent cx="6129323" cy="1849819"/>
            <wp:effectExtent l="76200" t="76200" r="138430" b="131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50296" cy="18561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3D81EB0" w14:textId="14FF3833" w:rsidR="00F327E7" w:rsidRPr="00163A1E" w:rsidRDefault="00F327E7" w:rsidP="009E17B0">
      <w:pPr>
        <w:pStyle w:val="BodyText"/>
        <w:spacing w:beforeLines="60" w:before="144" w:afterLines="60" w:after="144" w:line="240" w:lineRule="auto"/>
        <w:rPr>
          <w:rFonts w:ascii="Century Gothic" w:hAnsi="Century Gothic" w:cs="Arial"/>
          <w:b/>
        </w:rPr>
      </w:pPr>
      <w:r w:rsidRPr="00163A1E">
        <w:rPr>
          <w:rFonts w:ascii="Century Gothic" w:hAnsi="Century Gothic" w:cs="Arial"/>
          <w:b/>
        </w:rPr>
        <w:t xml:space="preserve">Step 1: </w:t>
      </w:r>
      <w:r w:rsidR="006C3E81">
        <w:rPr>
          <w:rFonts w:ascii="Century Gothic" w:hAnsi="Century Gothic" w:cs="Arial"/>
          <w:b/>
        </w:rPr>
        <w:t>Mu</w:t>
      </w:r>
      <w:r w:rsidR="006443C2">
        <w:rPr>
          <w:rFonts w:ascii="Century Gothic" w:hAnsi="Century Gothic" w:cs="Arial"/>
          <w:b/>
        </w:rPr>
        <w:t>nicipal customer to o</w:t>
      </w:r>
      <w:r w:rsidRPr="00163A1E">
        <w:rPr>
          <w:rFonts w:ascii="Century Gothic" w:hAnsi="Century Gothic" w:cs="Arial"/>
          <w:b/>
        </w:rPr>
        <w:t>btain Application Form</w:t>
      </w:r>
      <w:bookmarkEnd w:id="38"/>
    </w:p>
    <w:p w14:paraId="451E3116" w14:textId="77777777" w:rsidR="00F327E7" w:rsidRPr="00163A1E" w:rsidRDefault="00F327E7" w:rsidP="00871EE8">
      <w:pPr>
        <w:pStyle w:val="BodyText"/>
        <w:numPr>
          <w:ilvl w:val="0"/>
          <w:numId w:val="9"/>
        </w:numPr>
        <w:spacing w:beforeLines="60" w:before="144" w:afterLines="60" w:after="144" w:line="240" w:lineRule="auto"/>
        <w:rPr>
          <w:rFonts w:ascii="Century Gothic" w:hAnsi="Century Gothic" w:cs="Arial"/>
        </w:rPr>
      </w:pPr>
      <w:r w:rsidRPr="00163A1E">
        <w:rPr>
          <w:rFonts w:ascii="Century Gothic" w:hAnsi="Century Gothic" w:cs="Arial"/>
        </w:rPr>
        <w:t>Visit the Municipality's website and download the relevant application form/s or request the forms from the electricity department offices.</w:t>
      </w:r>
    </w:p>
    <w:p w14:paraId="324DE93E" w14:textId="77777777" w:rsidR="00F327E7" w:rsidRPr="00163A1E" w:rsidRDefault="00F327E7" w:rsidP="00871EE8">
      <w:pPr>
        <w:pStyle w:val="BodyText"/>
        <w:numPr>
          <w:ilvl w:val="0"/>
          <w:numId w:val="9"/>
        </w:numPr>
        <w:spacing w:beforeLines="60" w:before="144" w:afterLines="60" w:after="144" w:line="240" w:lineRule="auto"/>
        <w:rPr>
          <w:rFonts w:ascii="Century Gothic" w:hAnsi="Century Gothic" w:cs="Arial"/>
        </w:rPr>
      </w:pPr>
      <w:r w:rsidRPr="00163A1E">
        <w:rPr>
          <w:rFonts w:ascii="Century Gothic" w:hAnsi="Century Gothic" w:cs="Arial"/>
        </w:rPr>
        <w:t>The application form may require details such as the proposed capacity of the generator, the proposed location of the generator, and the estimated annual energy output.</w:t>
      </w:r>
    </w:p>
    <w:p w14:paraId="32D047E2" w14:textId="5E8CAA24" w:rsidR="00F327E7" w:rsidRDefault="00F327E7" w:rsidP="00871EE8">
      <w:pPr>
        <w:pStyle w:val="BodyText"/>
        <w:numPr>
          <w:ilvl w:val="0"/>
          <w:numId w:val="9"/>
        </w:numPr>
        <w:spacing w:beforeLines="60" w:before="144" w:afterLines="60" w:after="144" w:line="240" w:lineRule="auto"/>
        <w:rPr>
          <w:rFonts w:ascii="Century Gothic" w:hAnsi="Century Gothic" w:cs="Arial"/>
        </w:rPr>
      </w:pPr>
      <w:r w:rsidRPr="00163A1E">
        <w:rPr>
          <w:rFonts w:ascii="Century Gothic" w:hAnsi="Century Gothic" w:cs="Arial"/>
        </w:rPr>
        <w:t>The applicant may need to provide a single-line diagram of the proposed installation, showing how it will be connected to the municipal grid.</w:t>
      </w:r>
    </w:p>
    <w:p w14:paraId="5B283475" w14:textId="77777777" w:rsidR="00DE42DF" w:rsidRDefault="00DE42DF" w:rsidP="00871EE8">
      <w:pPr>
        <w:pStyle w:val="ListParagraph"/>
        <w:numPr>
          <w:ilvl w:val="0"/>
          <w:numId w:val="9"/>
        </w:numPr>
        <w:rPr>
          <w:rFonts w:ascii="Century Gothic" w:hAnsi="Century Gothic"/>
        </w:rPr>
      </w:pPr>
      <w:r w:rsidRPr="00DE42DF">
        <w:rPr>
          <w:rFonts w:ascii="Century Gothic" w:hAnsi="Century Gothic"/>
        </w:rPr>
        <w:t>This form should be filled in by the IPP, trader (if applicable) and off taker/customer of the municipality whose name the property is registered under and whose name the electricity account is in (i.e., Municipal Account Holder), who intends on engaging in a third-party wheeling transaction.</w:t>
      </w:r>
    </w:p>
    <w:p w14:paraId="13A60922" w14:textId="3AB487D3" w:rsidR="00DE42DF" w:rsidRPr="00DE42DF" w:rsidRDefault="00DE42DF" w:rsidP="00871EE8">
      <w:pPr>
        <w:pStyle w:val="ListParagraph"/>
        <w:numPr>
          <w:ilvl w:val="0"/>
          <w:numId w:val="9"/>
        </w:numPr>
        <w:rPr>
          <w:rFonts w:ascii="Century Gothic" w:hAnsi="Century Gothic"/>
        </w:rPr>
      </w:pPr>
      <w:r w:rsidRPr="00DE42DF">
        <w:rPr>
          <w:rFonts w:ascii="Century Gothic" w:hAnsi="Century Gothic"/>
        </w:rPr>
        <w:t>This form must then be submitted by the off taker/customer.</w:t>
      </w:r>
    </w:p>
    <w:p w14:paraId="7B62723A" w14:textId="2A97615E" w:rsidR="00F327E7" w:rsidRPr="00163A1E" w:rsidRDefault="00F327E7" w:rsidP="009E17B0">
      <w:pPr>
        <w:pStyle w:val="BodyText"/>
        <w:spacing w:beforeLines="60" w:before="144" w:afterLines="60" w:after="144" w:line="240" w:lineRule="auto"/>
        <w:rPr>
          <w:rFonts w:ascii="Century Gothic" w:hAnsi="Century Gothic" w:cs="Arial"/>
          <w:b/>
        </w:rPr>
      </w:pPr>
      <w:bookmarkStart w:id="39" w:name="_Toc422474362"/>
      <w:r w:rsidRPr="00163A1E">
        <w:rPr>
          <w:rFonts w:ascii="Century Gothic" w:hAnsi="Century Gothic" w:cs="Arial"/>
          <w:b/>
        </w:rPr>
        <w:t xml:space="preserve">Step 2: Complete the application form </w:t>
      </w:r>
      <w:bookmarkEnd w:id="39"/>
      <w:r w:rsidRPr="00163A1E">
        <w:rPr>
          <w:rFonts w:ascii="Century Gothic" w:hAnsi="Century Gothic" w:cs="Arial"/>
          <w:b/>
        </w:rPr>
        <w:t xml:space="preserve">to </w:t>
      </w:r>
      <w:r w:rsidR="00821BEE">
        <w:rPr>
          <w:rFonts w:ascii="Century Gothic" w:hAnsi="Century Gothic" w:cs="Arial"/>
          <w:b/>
        </w:rPr>
        <w:t xml:space="preserve">partake in electricity </w:t>
      </w:r>
      <w:r w:rsidRPr="00163A1E">
        <w:rPr>
          <w:rFonts w:ascii="Century Gothic" w:hAnsi="Century Gothic" w:cs="Arial"/>
          <w:b/>
        </w:rPr>
        <w:t>wheel</w:t>
      </w:r>
      <w:r w:rsidR="00821BEE">
        <w:rPr>
          <w:rFonts w:ascii="Century Gothic" w:hAnsi="Century Gothic" w:cs="Arial"/>
          <w:b/>
        </w:rPr>
        <w:t>ing</w:t>
      </w:r>
    </w:p>
    <w:p w14:paraId="0AC52611" w14:textId="77777777" w:rsidR="00F327E7" w:rsidRPr="00163A1E" w:rsidRDefault="00F327E7" w:rsidP="00871EE8">
      <w:pPr>
        <w:pStyle w:val="BodyText"/>
        <w:numPr>
          <w:ilvl w:val="0"/>
          <w:numId w:val="9"/>
        </w:numPr>
        <w:spacing w:beforeLines="60" w:before="144" w:afterLines="60" w:after="144" w:line="240" w:lineRule="auto"/>
        <w:rPr>
          <w:rFonts w:ascii="Century Gothic" w:hAnsi="Century Gothic" w:cs="Arial"/>
        </w:rPr>
      </w:pPr>
      <w:r w:rsidRPr="00163A1E">
        <w:rPr>
          <w:rFonts w:ascii="Century Gothic" w:hAnsi="Century Gothic" w:cs="Arial"/>
        </w:rPr>
        <w:t xml:space="preserve">The Municipality requires the current electricity customer/account holder to sign the application form/s. </w:t>
      </w:r>
    </w:p>
    <w:p w14:paraId="48520B8E" w14:textId="13791B8A" w:rsidR="00F327E7" w:rsidRPr="00163A1E" w:rsidRDefault="00F327E7" w:rsidP="00871EE8">
      <w:pPr>
        <w:pStyle w:val="BodyText"/>
        <w:numPr>
          <w:ilvl w:val="0"/>
          <w:numId w:val="9"/>
        </w:numPr>
        <w:spacing w:beforeLines="60" w:before="144" w:afterLines="60" w:after="144" w:line="240" w:lineRule="auto"/>
        <w:rPr>
          <w:rFonts w:ascii="Century Gothic" w:hAnsi="Century Gothic" w:cs="Arial"/>
        </w:rPr>
      </w:pPr>
      <w:r w:rsidRPr="00163A1E">
        <w:rPr>
          <w:rFonts w:ascii="Century Gothic" w:hAnsi="Century Gothic" w:cs="Arial"/>
        </w:rPr>
        <w:t xml:space="preserve">Details of the proposed generator shall also be provided. </w:t>
      </w:r>
    </w:p>
    <w:p w14:paraId="153AFB0F" w14:textId="0C7F27F9" w:rsidR="00F327E7" w:rsidRPr="00D3769D" w:rsidRDefault="00F327E7" w:rsidP="00871EE8">
      <w:pPr>
        <w:pStyle w:val="BodyText"/>
        <w:numPr>
          <w:ilvl w:val="0"/>
          <w:numId w:val="9"/>
        </w:numPr>
        <w:spacing w:beforeLines="60" w:before="144" w:afterLines="60" w:after="144" w:line="240" w:lineRule="auto"/>
        <w:rPr>
          <w:rFonts w:ascii="Century Gothic" w:hAnsi="Century Gothic" w:cs="Arial"/>
        </w:rPr>
      </w:pPr>
      <w:r w:rsidRPr="00163A1E">
        <w:rPr>
          <w:rFonts w:ascii="Century Gothic" w:hAnsi="Century Gothic" w:cs="Arial"/>
        </w:rPr>
        <w:t xml:space="preserve">The </w:t>
      </w:r>
      <w:r w:rsidR="00F76D34">
        <w:rPr>
          <w:rFonts w:ascii="Century Gothic" w:hAnsi="Century Gothic" w:cs="Arial"/>
        </w:rPr>
        <w:t>customer</w:t>
      </w:r>
      <w:r w:rsidR="00F76D34" w:rsidRPr="00163A1E">
        <w:rPr>
          <w:rFonts w:ascii="Century Gothic" w:hAnsi="Century Gothic" w:cs="Arial"/>
        </w:rPr>
        <w:t xml:space="preserve"> </w:t>
      </w:r>
      <w:r w:rsidRPr="00163A1E">
        <w:rPr>
          <w:rFonts w:ascii="Century Gothic" w:hAnsi="Century Gothic" w:cs="Arial"/>
        </w:rPr>
        <w:t>may need support from the generator or registered personnel in completing the application form.</w:t>
      </w:r>
    </w:p>
    <w:p w14:paraId="4CACC9FB" w14:textId="052D2040" w:rsidR="00F327E7" w:rsidRPr="00163A1E" w:rsidRDefault="00F327E7" w:rsidP="009E17B0">
      <w:pPr>
        <w:pStyle w:val="BodyText"/>
        <w:spacing w:beforeLines="60" w:before="144" w:afterLines="60" w:after="144" w:line="240" w:lineRule="auto"/>
        <w:rPr>
          <w:rFonts w:ascii="Century Gothic" w:hAnsi="Century Gothic" w:cs="Arial"/>
          <w:b/>
        </w:rPr>
      </w:pPr>
      <w:bookmarkStart w:id="40" w:name="_Toc422474365"/>
      <w:r w:rsidRPr="00163A1E">
        <w:rPr>
          <w:rFonts w:ascii="Century Gothic" w:hAnsi="Century Gothic" w:cs="Arial"/>
          <w:b/>
        </w:rPr>
        <w:t xml:space="preserve">Step </w:t>
      </w:r>
      <w:r w:rsidR="006F2A40">
        <w:rPr>
          <w:rFonts w:ascii="Century Gothic" w:hAnsi="Century Gothic" w:cs="Arial"/>
          <w:b/>
        </w:rPr>
        <w:t>3</w:t>
      </w:r>
      <w:r w:rsidRPr="00163A1E">
        <w:rPr>
          <w:rFonts w:ascii="Century Gothic" w:hAnsi="Century Gothic" w:cs="Arial"/>
          <w:b/>
        </w:rPr>
        <w:t>: Submit the completed application form/s and attachments</w:t>
      </w:r>
      <w:bookmarkEnd w:id="40"/>
    </w:p>
    <w:p w14:paraId="1BCD8D1C" w14:textId="77777777" w:rsidR="00F327E7" w:rsidRPr="00163A1E" w:rsidRDefault="00F327E7" w:rsidP="00871EE8">
      <w:pPr>
        <w:pStyle w:val="BodyText"/>
        <w:numPr>
          <w:ilvl w:val="0"/>
          <w:numId w:val="10"/>
        </w:numPr>
        <w:spacing w:beforeLines="60" w:before="144" w:afterLines="60" w:after="144" w:line="240" w:lineRule="auto"/>
        <w:rPr>
          <w:rFonts w:ascii="Century Gothic" w:hAnsi="Century Gothic" w:cs="Arial"/>
        </w:rPr>
      </w:pPr>
      <w:r w:rsidRPr="00163A1E">
        <w:rPr>
          <w:rFonts w:ascii="Century Gothic" w:hAnsi="Century Gothic" w:cs="Arial"/>
        </w:rPr>
        <w:t>Form/s shall be submitted to the relevant contacts at the electricity department.</w:t>
      </w:r>
    </w:p>
    <w:p w14:paraId="37AB265E" w14:textId="534982DB" w:rsidR="00F327E7" w:rsidRPr="00163A1E" w:rsidRDefault="00F327E7" w:rsidP="00871EE8">
      <w:pPr>
        <w:pStyle w:val="BodyText"/>
        <w:numPr>
          <w:ilvl w:val="0"/>
          <w:numId w:val="10"/>
        </w:numPr>
        <w:spacing w:beforeLines="60" w:before="144" w:afterLines="60" w:after="144" w:line="240" w:lineRule="auto"/>
        <w:rPr>
          <w:rFonts w:ascii="Century Gothic" w:hAnsi="Century Gothic" w:cs="Arial"/>
        </w:rPr>
      </w:pPr>
      <w:r w:rsidRPr="00163A1E">
        <w:rPr>
          <w:rFonts w:ascii="Century Gothic" w:hAnsi="Century Gothic" w:cs="Arial"/>
        </w:rPr>
        <w:t>An offtake agreement</w:t>
      </w:r>
      <w:r w:rsidR="003C16E5">
        <w:rPr>
          <w:rFonts w:ascii="Century Gothic" w:hAnsi="Century Gothic" w:cs="Arial"/>
        </w:rPr>
        <w:t>/Power Purchase Agreement</w:t>
      </w:r>
      <w:r w:rsidRPr="00163A1E">
        <w:rPr>
          <w:rFonts w:ascii="Century Gothic" w:hAnsi="Century Gothic" w:cs="Arial"/>
        </w:rPr>
        <w:t xml:space="preserve"> between the generator</w:t>
      </w:r>
      <w:r w:rsidR="00E86543">
        <w:rPr>
          <w:rFonts w:ascii="Century Gothic" w:hAnsi="Century Gothic" w:cs="Arial"/>
        </w:rPr>
        <w:t xml:space="preserve"> or trader</w:t>
      </w:r>
      <w:r w:rsidRPr="00163A1E">
        <w:rPr>
          <w:rFonts w:ascii="Century Gothic" w:hAnsi="Century Gothic" w:cs="Arial"/>
        </w:rPr>
        <w:t xml:space="preserve"> and the customer needs to be included with the application form</w:t>
      </w:r>
      <w:r w:rsidR="00297BD4">
        <w:rPr>
          <w:rFonts w:ascii="Century Gothic" w:hAnsi="Century Gothic" w:cs="Arial"/>
        </w:rPr>
        <w:t>.</w:t>
      </w:r>
    </w:p>
    <w:p w14:paraId="7BE4D8BD" w14:textId="19497687" w:rsidR="0025096E" w:rsidRDefault="00F327E7" w:rsidP="00871EE8">
      <w:pPr>
        <w:pStyle w:val="BodyText"/>
        <w:numPr>
          <w:ilvl w:val="0"/>
          <w:numId w:val="10"/>
        </w:numPr>
        <w:spacing w:beforeLines="60" w:before="144" w:afterLines="60" w:after="144" w:line="240" w:lineRule="auto"/>
        <w:rPr>
          <w:rFonts w:ascii="Century Gothic" w:hAnsi="Century Gothic" w:cs="Arial"/>
        </w:rPr>
      </w:pPr>
      <w:r w:rsidRPr="00163A1E">
        <w:rPr>
          <w:rFonts w:ascii="Century Gothic" w:hAnsi="Century Gothic" w:cs="Arial"/>
        </w:rPr>
        <w:t xml:space="preserve">If the generator is </w:t>
      </w:r>
      <w:r w:rsidR="001F3452">
        <w:rPr>
          <w:rFonts w:ascii="Century Gothic" w:hAnsi="Century Gothic" w:cs="Arial"/>
        </w:rPr>
        <w:t xml:space="preserve">connected </w:t>
      </w:r>
      <w:r w:rsidRPr="00163A1E">
        <w:rPr>
          <w:rFonts w:ascii="Century Gothic" w:hAnsi="Century Gothic" w:cs="Arial"/>
        </w:rPr>
        <w:t xml:space="preserve">outside the municipal area of supply, the </w:t>
      </w:r>
      <w:r w:rsidR="001F3452">
        <w:rPr>
          <w:rFonts w:ascii="Century Gothic" w:hAnsi="Century Gothic" w:cs="Arial"/>
        </w:rPr>
        <w:t>U</w:t>
      </w:r>
      <w:r w:rsidRPr="00163A1E">
        <w:rPr>
          <w:rFonts w:ascii="Century Gothic" w:hAnsi="Century Gothic" w:cs="Arial"/>
        </w:rPr>
        <w:t>se</w:t>
      </w:r>
      <w:r w:rsidR="002D769E">
        <w:rPr>
          <w:rFonts w:ascii="Century Gothic" w:hAnsi="Century Gothic" w:cs="Arial"/>
        </w:rPr>
        <w:t>-</w:t>
      </w:r>
      <w:r w:rsidRPr="00163A1E">
        <w:rPr>
          <w:rFonts w:ascii="Century Gothic" w:hAnsi="Century Gothic" w:cs="Arial"/>
        </w:rPr>
        <w:t>of</w:t>
      </w:r>
      <w:r w:rsidR="002D769E">
        <w:rPr>
          <w:rFonts w:ascii="Century Gothic" w:hAnsi="Century Gothic" w:cs="Arial"/>
        </w:rPr>
        <w:t>-</w:t>
      </w:r>
      <w:r w:rsidR="001F3452">
        <w:rPr>
          <w:rFonts w:ascii="Century Gothic" w:hAnsi="Century Gothic" w:cs="Arial"/>
        </w:rPr>
        <w:t>S</w:t>
      </w:r>
      <w:r w:rsidRPr="00163A1E">
        <w:rPr>
          <w:rFonts w:ascii="Century Gothic" w:hAnsi="Century Gothic" w:cs="Arial"/>
        </w:rPr>
        <w:t xml:space="preserve">ystem </w:t>
      </w:r>
      <w:r w:rsidR="001F3452">
        <w:rPr>
          <w:rFonts w:ascii="Century Gothic" w:hAnsi="Century Gothic" w:cs="Arial"/>
        </w:rPr>
        <w:t>A</w:t>
      </w:r>
      <w:r w:rsidRPr="00163A1E">
        <w:rPr>
          <w:rFonts w:ascii="Century Gothic" w:hAnsi="Century Gothic" w:cs="Arial"/>
        </w:rPr>
        <w:t>greement with the other authority needs to be supplied</w:t>
      </w:r>
      <w:r w:rsidR="00297BD4">
        <w:rPr>
          <w:rFonts w:ascii="Century Gothic" w:hAnsi="Century Gothic" w:cs="Arial"/>
        </w:rPr>
        <w:t>.</w:t>
      </w:r>
    </w:p>
    <w:p w14:paraId="439D6143" w14:textId="4306B7E8" w:rsidR="0025096E" w:rsidRPr="00163A1E" w:rsidRDefault="0025096E" w:rsidP="0025096E">
      <w:pPr>
        <w:pStyle w:val="BodyText"/>
        <w:spacing w:beforeLines="60" w:before="144" w:afterLines="60" w:after="144" w:line="240" w:lineRule="auto"/>
        <w:rPr>
          <w:rFonts w:ascii="Century Gothic" w:hAnsi="Century Gothic" w:cs="Arial"/>
          <w:b/>
        </w:rPr>
      </w:pPr>
      <w:r w:rsidRPr="00163A1E">
        <w:rPr>
          <w:rFonts w:ascii="Century Gothic" w:hAnsi="Century Gothic" w:cs="Arial"/>
          <w:b/>
        </w:rPr>
        <w:lastRenderedPageBreak/>
        <w:t xml:space="preserve">Step </w:t>
      </w:r>
      <w:r w:rsidR="006F2A40">
        <w:rPr>
          <w:rFonts w:ascii="Century Gothic" w:hAnsi="Century Gothic" w:cs="Arial"/>
          <w:b/>
        </w:rPr>
        <w:t>4</w:t>
      </w:r>
      <w:r w:rsidRPr="00163A1E">
        <w:rPr>
          <w:rFonts w:ascii="Century Gothic" w:hAnsi="Century Gothic" w:cs="Arial"/>
          <w:b/>
        </w:rPr>
        <w:t xml:space="preserve">: </w:t>
      </w:r>
      <w:r w:rsidR="000A6068">
        <w:rPr>
          <w:rFonts w:ascii="Century Gothic" w:hAnsi="Century Gothic" w:cs="Arial"/>
          <w:b/>
        </w:rPr>
        <w:t>Municipality to o</w:t>
      </w:r>
      <w:r w:rsidRPr="00163A1E">
        <w:rPr>
          <w:rFonts w:ascii="Century Gothic" w:hAnsi="Century Gothic" w:cs="Arial"/>
          <w:b/>
        </w:rPr>
        <w:t>btain permission from other departments</w:t>
      </w:r>
      <w:r w:rsidR="000A6068">
        <w:rPr>
          <w:rFonts w:ascii="Century Gothic" w:hAnsi="Century Gothic" w:cs="Arial"/>
          <w:b/>
        </w:rPr>
        <w:t xml:space="preserve"> as </w:t>
      </w:r>
      <w:r w:rsidR="000A6068" w:rsidRPr="00062382">
        <w:rPr>
          <w:rFonts w:ascii="Century Gothic" w:hAnsi="Century Gothic" w:cs="Arial"/>
          <w:b/>
        </w:rPr>
        <w:t>required</w:t>
      </w:r>
      <w:r w:rsidR="006E2249" w:rsidRPr="00062382">
        <w:rPr>
          <w:rFonts w:ascii="Century Gothic" w:hAnsi="Century Gothic" w:cs="Arial"/>
          <w:b/>
        </w:rPr>
        <w:t xml:space="preserve"> (applicable when generator </w:t>
      </w:r>
      <w:r w:rsidR="00062382" w:rsidRPr="00062382">
        <w:rPr>
          <w:rFonts w:ascii="Century Gothic" w:hAnsi="Century Gothic" w:cs="Arial"/>
          <w:b/>
        </w:rPr>
        <w:t xml:space="preserve">is </w:t>
      </w:r>
      <w:r w:rsidR="006E2249" w:rsidRPr="00062382">
        <w:rPr>
          <w:rFonts w:ascii="Century Gothic" w:hAnsi="Century Gothic" w:cs="Arial"/>
          <w:b/>
        </w:rPr>
        <w:t xml:space="preserve">within </w:t>
      </w:r>
      <w:r w:rsidR="000C66FE" w:rsidRPr="00062382">
        <w:rPr>
          <w:rFonts w:ascii="Century Gothic" w:hAnsi="Century Gothic" w:cs="Arial"/>
          <w:b/>
        </w:rPr>
        <w:t>Municipality)</w:t>
      </w:r>
    </w:p>
    <w:p w14:paraId="07A912DF" w14:textId="27D4BD06" w:rsidR="0025096E" w:rsidRPr="00163A1E" w:rsidRDefault="0025096E" w:rsidP="00871EE8">
      <w:pPr>
        <w:pStyle w:val="BodyText"/>
        <w:numPr>
          <w:ilvl w:val="0"/>
          <w:numId w:val="10"/>
        </w:numPr>
        <w:spacing w:beforeLines="60" w:before="144" w:afterLines="60" w:after="144" w:line="240" w:lineRule="auto"/>
        <w:rPr>
          <w:rFonts w:ascii="Century Gothic" w:hAnsi="Century Gothic" w:cs="Arial"/>
        </w:rPr>
      </w:pPr>
      <w:r w:rsidRPr="00163A1E">
        <w:rPr>
          <w:rFonts w:ascii="Century Gothic" w:hAnsi="Century Gothic" w:cs="Arial"/>
        </w:rPr>
        <w:t>The electricity department requires prior approval of the proposed wheeling arrangement from other departments as stipulated in the form (</w:t>
      </w:r>
      <w:r w:rsidR="000C66FE" w:rsidRPr="00163A1E">
        <w:rPr>
          <w:rFonts w:ascii="Century Gothic" w:hAnsi="Century Gothic" w:cs="Arial"/>
        </w:rPr>
        <w:t>e.g.,</w:t>
      </w:r>
      <w:r w:rsidRPr="00163A1E">
        <w:rPr>
          <w:rFonts w:ascii="Century Gothic" w:hAnsi="Century Gothic" w:cs="Arial"/>
        </w:rPr>
        <w:t xml:space="preserve"> buildings department). All such approvals must be reflected in or submitted with the application form.</w:t>
      </w:r>
    </w:p>
    <w:p w14:paraId="7C45AC15" w14:textId="77777777" w:rsidR="0025096E" w:rsidRPr="00163A1E" w:rsidRDefault="0025096E" w:rsidP="00871EE8">
      <w:pPr>
        <w:pStyle w:val="BodyText"/>
        <w:numPr>
          <w:ilvl w:val="0"/>
          <w:numId w:val="10"/>
        </w:numPr>
        <w:spacing w:beforeLines="60" w:before="144" w:afterLines="60" w:after="144" w:line="240" w:lineRule="auto"/>
        <w:rPr>
          <w:rFonts w:ascii="Century Gothic" w:hAnsi="Century Gothic" w:cs="Arial"/>
        </w:rPr>
      </w:pPr>
      <w:r w:rsidRPr="00163A1E">
        <w:rPr>
          <w:rFonts w:ascii="Century Gothic" w:hAnsi="Century Gothic" w:cs="Arial"/>
        </w:rPr>
        <w:t>The applicant may need to obtain approval from other relevant regulatory bodies, such as the NERSA or the Independent Power Producer (IPP) Office.</w:t>
      </w:r>
    </w:p>
    <w:p w14:paraId="64D31FA4" w14:textId="2E320AB5" w:rsidR="0025096E" w:rsidRPr="009E08A1" w:rsidRDefault="0025096E" w:rsidP="00871EE8">
      <w:pPr>
        <w:pStyle w:val="BodyText"/>
        <w:numPr>
          <w:ilvl w:val="0"/>
          <w:numId w:val="10"/>
        </w:numPr>
        <w:spacing w:beforeLines="60" w:before="144" w:afterLines="60" w:after="144" w:line="240" w:lineRule="auto"/>
        <w:rPr>
          <w:rFonts w:ascii="Century Gothic" w:hAnsi="Century Gothic" w:cs="Arial"/>
        </w:rPr>
      </w:pPr>
      <w:r>
        <w:rPr>
          <w:rFonts w:ascii="Century Gothic" w:hAnsi="Century Gothic" w:cs="Arial"/>
        </w:rPr>
        <w:t>In future, t</w:t>
      </w:r>
      <w:r w:rsidRPr="00163A1E">
        <w:rPr>
          <w:rFonts w:ascii="Century Gothic" w:hAnsi="Century Gothic" w:cs="Arial"/>
        </w:rPr>
        <w:t>he applicant may need to obtain approval from the local distribution network operator (DNO) or the national transmission system operator (TSO) if the installation is connected to the transmission grid.</w:t>
      </w:r>
    </w:p>
    <w:p w14:paraId="7AFCC9B9" w14:textId="37EB3340" w:rsidR="00F327E7" w:rsidRPr="00062382" w:rsidRDefault="00F327E7" w:rsidP="009E17B0">
      <w:pPr>
        <w:pStyle w:val="BodyText"/>
        <w:spacing w:beforeLines="60" w:before="144" w:afterLines="60" w:after="144" w:line="240" w:lineRule="auto"/>
        <w:rPr>
          <w:rFonts w:ascii="Century Gothic" w:hAnsi="Century Gothic" w:cs="Arial"/>
          <w:b/>
        </w:rPr>
      </w:pPr>
      <w:bookmarkStart w:id="41" w:name="_Toc422474366"/>
      <w:r w:rsidRPr="00062382">
        <w:rPr>
          <w:rFonts w:ascii="Century Gothic" w:hAnsi="Century Gothic" w:cs="Arial"/>
          <w:b/>
        </w:rPr>
        <w:t xml:space="preserve">Step 5: </w:t>
      </w:r>
      <w:bookmarkEnd w:id="41"/>
      <w:r w:rsidR="002F4787" w:rsidRPr="00062382">
        <w:rPr>
          <w:rFonts w:ascii="Century Gothic" w:hAnsi="Century Gothic" w:cs="Arial"/>
          <w:b/>
        </w:rPr>
        <w:t>Decision provi</w:t>
      </w:r>
      <w:r w:rsidR="00CF1CAA" w:rsidRPr="00062382">
        <w:rPr>
          <w:rFonts w:ascii="Century Gothic" w:hAnsi="Century Gothic" w:cs="Arial"/>
          <w:b/>
        </w:rPr>
        <w:t>ded, and if approved and applicable,</w:t>
      </w:r>
      <w:r w:rsidR="000C66FE" w:rsidRPr="00062382">
        <w:rPr>
          <w:rFonts w:ascii="Century Gothic" w:hAnsi="Century Gothic" w:cs="Arial"/>
          <w:b/>
        </w:rPr>
        <w:t xml:space="preserve"> municipality</w:t>
      </w:r>
      <w:r w:rsidR="00CF1CAA" w:rsidRPr="00062382">
        <w:rPr>
          <w:rFonts w:ascii="Century Gothic" w:hAnsi="Century Gothic" w:cs="Arial"/>
          <w:b/>
        </w:rPr>
        <w:t xml:space="preserve"> </w:t>
      </w:r>
      <w:r w:rsidR="00D373C9" w:rsidRPr="00062382">
        <w:rPr>
          <w:rFonts w:ascii="Century Gothic" w:hAnsi="Century Gothic" w:cs="Arial"/>
          <w:b/>
        </w:rPr>
        <w:t>install</w:t>
      </w:r>
      <w:r w:rsidR="00D04EEE" w:rsidRPr="00062382">
        <w:rPr>
          <w:rFonts w:ascii="Century Gothic" w:hAnsi="Century Gothic" w:cs="Arial"/>
          <w:b/>
        </w:rPr>
        <w:t>s</w:t>
      </w:r>
      <w:r w:rsidR="00D373C9" w:rsidRPr="00062382">
        <w:rPr>
          <w:rFonts w:ascii="Century Gothic" w:hAnsi="Century Gothic" w:cs="Arial"/>
          <w:b/>
        </w:rPr>
        <w:t xml:space="preserve"> meter</w:t>
      </w:r>
      <w:r w:rsidR="00AA5533" w:rsidRPr="00062382">
        <w:rPr>
          <w:rFonts w:ascii="Century Gothic" w:hAnsi="Century Gothic" w:cs="Arial"/>
          <w:b/>
        </w:rPr>
        <w:t xml:space="preserve"> </w:t>
      </w:r>
    </w:p>
    <w:p w14:paraId="2D422833" w14:textId="1D497704" w:rsidR="00F327E7" w:rsidRPr="00062382" w:rsidRDefault="00F327E7" w:rsidP="00871EE8">
      <w:pPr>
        <w:pStyle w:val="BodyText"/>
        <w:numPr>
          <w:ilvl w:val="0"/>
          <w:numId w:val="11"/>
        </w:numPr>
        <w:spacing w:beforeLines="60" w:before="144" w:afterLines="60" w:after="144" w:line="240" w:lineRule="auto"/>
        <w:rPr>
          <w:rFonts w:ascii="Century Gothic" w:hAnsi="Century Gothic" w:cs="Arial"/>
        </w:rPr>
      </w:pPr>
      <w:r w:rsidRPr="00062382">
        <w:rPr>
          <w:rFonts w:ascii="Century Gothic" w:hAnsi="Century Gothic" w:cs="Arial"/>
        </w:rPr>
        <w:t xml:space="preserve">After consideration of the application, the </w:t>
      </w:r>
      <w:r w:rsidR="00CF1CAA" w:rsidRPr="00062382">
        <w:rPr>
          <w:rFonts w:ascii="Century Gothic" w:hAnsi="Century Gothic" w:cs="Arial"/>
        </w:rPr>
        <w:t xml:space="preserve">customer </w:t>
      </w:r>
      <w:r w:rsidRPr="00062382">
        <w:rPr>
          <w:rFonts w:ascii="Century Gothic" w:hAnsi="Century Gothic" w:cs="Arial"/>
        </w:rPr>
        <w:t>will be informed in writing whether the application has succeeded</w:t>
      </w:r>
      <w:r w:rsidR="00F03731" w:rsidRPr="00062382">
        <w:rPr>
          <w:rFonts w:ascii="Century Gothic" w:hAnsi="Century Gothic" w:cs="Arial"/>
        </w:rPr>
        <w:t xml:space="preserve">, together with any operational and other requirements deemed necessary. If the application is </w:t>
      </w:r>
      <w:r w:rsidR="005D005C" w:rsidRPr="00062382">
        <w:rPr>
          <w:rFonts w:ascii="Century Gothic" w:hAnsi="Century Gothic" w:cs="Arial"/>
        </w:rPr>
        <w:t>declined</w:t>
      </w:r>
      <w:r w:rsidR="00F03731" w:rsidRPr="00062382">
        <w:rPr>
          <w:rFonts w:ascii="Century Gothic" w:hAnsi="Century Gothic" w:cs="Arial"/>
        </w:rPr>
        <w:t>,</w:t>
      </w:r>
      <w:r w:rsidR="005D005C" w:rsidRPr="00062382">
        <w:rPr>
          <w:rFonts w:ascii="Century Gothic" w:hAnsi="Century Gothic" w:cs="Arial"/>
        </w:rPr>
        <w:t xml:space="preserve"> reasons </w:t>
      </w:r>
      <w:r w:rsidR="00F03731" w:rsidRPr="00062382">
        <w:rPr>
          <w:rFonts w:ascii="Century Gothic" w:hAnsi="Century Gothic" w:cs="Arial"/>
        </w:rPr>
        <w:t>should</w:t>
      </w:r>
      <w:r w:rsidR="005D005C" w:rsidRPr="00062382">
        <w:rPr>
          <w:rFonts w:ascii="Century Gothic" w:hAnsi="Century Gothic" w:cs="Arial"/>
        </w:rPr>
        <w:t xml:space="preserve"> be provided.</w:t>
      </w:r>
      <w:r w:rsidR="00F03731" w:rsidRPr="00062382">
        <w:rPr>
          <w:rFonts w:ascii="Century Gothic" w:hAnsi="Century Gothic" w:cs="Arial"/>
        </w:rPr>
        <w:t xml:space="preserve"> </w:t>
      </w:r>
      <w:r w:rsidRPr="00062382">
        <w:rPr>
          <w:rFonts w:ascii="Century Gothic" w:hAnsi="Century Gothic" w:cs="Arial"/>
        </w:rPr>
        <w:t xml:space="preserve">If the municipality requires further information or grid studies, the </w:t>
      </w:r>
      <w:r w:rsidR="00E66040" w:rsidRPr="00062382">
        <w:rPr>
          <w:rFonts w:ascii="Century Gothic" w:hAnsi="Century Gothic" w:cs="Arial"/>
        </w:rPr>
        <w:t xml:space="preserve">customer </w:t>
      </w:r>
      <w:r w:rsidRPr="00062382">
        <w:rPr>
          <w:rFonts w:ascii="Century Gothic" w:hAnsi="Century Gothic" w:cs="Arial"/>
        </w:rPr>
        <w:t>will be notified thereof.</w:t>
      </w:r>
    </w:p>
    <w:p w14:paraId="5E0CF61B" w14:textId="7A984D34" w:rsidR="00F327E7" w:rsidRPr="00062382" w:rsidRDefault="00F327E7" w:rsidP="00871EE8">
      <w:pPr>
        <w:pStyle w:val="BodyText"/>
        <w:numPr>
          <w:ilvl w:val="0"/>
          <w:numId w:val="11"/>
        </w:numPr>
        <w:spacing w:beforeLines="60" w:before="144" w:afterLines="60" w:after="144" w:line="240" w:lineRule="auto"/>
        <w:rPr>
          <w:rFonts w:ascii="Century Gothic" w:hAnsi="Century Gothic" w:cs="Arial"/>
        </w:rPr>
      </w:pPr>
      <w:r w:rsidRPr="00062382">
        <w:rPr>
          <w:rFonts w:ascii="Century Gothic" w:hAnsi="Century Gothic" w:cs="Arial"/>
        </w:rPr>
        <w:t xml:space="preserve">Once notified of a successful application, the </w:t>
      </w:r>
      <w:r w:rsidR="00062382" w:rsidRPr="00062382">
        <w:rPr>
          <w:rFonts w:ascii="Century Gothic" w:hAnsi="Century Gothic" w:cs="Arial"/>
        </w:rPr>
        <w:t>Municipality</w:t>
      </w:r>
      <w:r w:rsidR="00BD4516" w:rsidRPr="00062382">
        <w:rPr>
          <w:rFonts w:ascii="Century Gothic" w:hAnsi="Century Gothic" w:cs="Arial"/>
        </w:rPr>
        <w:t xml:space="preserve"> </w:t>
      </w:r>
      <w:r w:rsidRPr="00062382">
        <w:rPr>
          <w:rFonts w:ascii="Century Gothic" w:hAnsi="Century Gothic" w:cs="Arial"/>
        </w:rPr>
        <w:t xml:space="preserve">may commence installation (it is advised that the </w:t>
      </w:r>
      <w:r w:rsidR="00BD4516" w:rsidRPr="00062382">
        <w:rPr>
          <w:rFonts w:ascii="Century Gothic" w:hAnsi="Century Gothic" w:cs="Arial"/>
        </w:rPr>
        <w:t xml:space="preserve">customer </w:t>
      </w:r>
      <w:r w:rsidRPr="00062382">
        <w:rPr>
          <w:rFonts w:ascii="Century Gothic" w:hAnsi="Century Gothic" w:cs="Arial"/>
        </w:rPr>
        <w:t>does not pay for any equipment until municipal approval is granted in writing, as such approval is not guaranteed).</w:t>
      </w:r>
      <w:r w:rsidR="00D955E6" w:rsidRPr="00062382">
        <w:rPr>
          <w:rFonts w:ascii="Century Gothic" w:hAnsi="Century Gothic" w:cs="Arial"/>
        </w:rPr>
        <w:t xml:space="preserve"> </w:t>
      </w:r>
    </w:p>
    <w:p w14:paraId="52EFC45E" w14:textId="761DA1E5" w:rsidR="00F327E7" w:rsidRPr="00062382" w:rsidRDefault="00F327E7" w:rsidP="00062382">
      <w:pPr>
        <w:pStyle w:val="BodyText"/>
        <w:numPr>
          <w:ilvl w:val="0"/>
          <w:numId w:val="11"/>
        </w:numPr>
        <w:spacing w:beforeLines="60" w:before="144" w:afterLines="60" w:after="144" w:line="240" w:lineRule="auto"/>
        <w:rPr>
          <w:rFonts w:ascii="Century Gothic" w:hAnsi="Century Gothic" w:cs="Arial"/>
        </w:rPr>
      </w:pPr>
      <w:r w:rsidRPr="00062382">
        <w:rPr>
          <w:rFonts w:ascii="Century Gothic" w:hAnsi="Century Gothic" w:cs="Arial"/>
        </w:rPr>
        <w:t xml:space="preserve">The municipality may require the </w:t>
      </w:r>
      <w:r w:rsidR="002865FD" w:rsidRPr="00062382">
        <w:rPr>
          <w:rFonts w:ascii="Century Gothic" w:hAnsi="Century Gothic" w:cs="Arial"/>
        </w:rPr>
        <w:t xml:space="preserve">customer </w:t>
      </w:r>
      <w:r w:rsidRPr="00062382">
        <w:rPr>
          <w:rFonts w:ascii="Century Gothic" w:hAnsi="Century Gothic" w:cs="Arial"/>
        </w:rPr>
        <w:t>to pay a fee for processing the application.</w:t>
      </w:r>
    </w:p>
    <w:p w14:paraId="534D2B54" w14:textId="00C92700" w:rsidR="00F327E7" w:rsidRPr="00163A1E" w:rsidRDefault="00F327E7" w:rsidP="009E17B0">
      <w:pPr>
        <w:pStyle w:val="BodyText"/>
        <w:spacing w:beforeLines="60" w:before="144" w:afterLines="60" w:after="144" w:line="240" w:lineRule="auto"/>
        <w:rPr>
          <w:rFonts w:ascii="Century Gothic" w:hAnsi="Century Gothic" w:cs="Arial"/>
          <w:b/>
        </w:rPr>
      </w:pPr>
      <w:bookmarkStart w:id="42" w:name="_Toc422474368"/>
      <w:r w:rsidRPr="00163A1E">
        <w:rPr>
          <w:rFonts w:ascii="Century Gothic" w:hAnsi="Century Gothic" w:cs="Arial"/>
          <w:b/>
        </w:rPr>
        <w:t xml:space="preserve">Step 6: </w:t>
      </w:r>
      <w:r w:rsidR="00C32AE3">
        <w:rPr>
          <w:rFonts w:ascii="Century Gothic" w:hAnsi="Century Gothic" w:cs="Arial"/>
          <w:b/>
        </w:rPr>
        <w:t>Municipal i</w:t>
      </w:r>
      <w:r w:rsidRPr="00163A1E">
        <w:rPr>
          <w:rFonts w:ascii="Century Gothic" w:hAnsi="Century Gothic" w:cs="Arial"/>
          <w:b/>
        </w:rPr>
        <w:t xml:space="preserve">nspection of installation, if </w:t>
      </w:r>
      <w:bookmarkEnd w:id="42"/>
      <w:r w:rsidR="00452C3C">
        <w:rPr>
          <w:rFonts w:ascii="Century Gothic" w:hAnsi="Century Gothic" w:cs="Arial"/>
          <w:b/>
        </w:rPr>
        <w:t>applicable</w:t>
      </w:r>
      <w:r w:rsidR="006E2249">
        <w:rPr>
          <w:rFonts w:ascii="Century Gothic" w:hAnsi="Century Gothic" w:cs="Arial"/>
          <w:b/>
        </w:rPr>
        <w:t xml:space="preserve"> when there is generator</w:t>
      </w:r>
    </w:p>
    <w:p w14:paraId="528425E8" w14:textId="006CAA35" w:rsidR="00F327E7" w:rsidRPr="00163A1E" w:rsidRDefault="00F327E7" w:rsidP="00871EE8">
      <w:pPr>
        <w:pStyle w:val="BodyText"/>
        <w:numPr>
          <w:ilvl w:val="0"/>
          <w:numId w:val="12"/>
        </w:numPr>
        <w:spacing w:beforeLines="60" w:before="144" w:afterLines="60" w:after="144" w:line="240" w:lineRule="auto"/>
        <w:rPr>
          <w:rFonts w:ascii="Century Gothic" w:hAnsi="Century Gothic" w:cs="Arial"/>
        </w:rPr>
      </w:pPr>
      <w:r w:rsidRPr="00163A1E">
        <w:rPr>
          <w:rFonts w:ascii="Century Gothic" w:hAnsi="Century Gothic" w:cs="Arial"/>
        </w:rPr>
        <w:t xml:space="preserve">The Municipality shall </w:t>
      </w:r>
      <w:r w:rsidRPr="000229FD">
        <w:rPr>
          <w:rFonts w:ascii="Century Gothic" w:hAnsi="Century Gothic" w:cs="Arial"/>
        </w:rPr>
        <w:t xml:space="preserve">inspect the </w:t>
      </w:r>
      <w:r w:rsidRPr="00163A1E">
        <w:rPr>
          <w:rFonts w:ascii="Century Gothic" w:hAnsi="Century Gothic" w:cs="Arial"/>
        </w:rPr>
        <w:t>installation if</w:t>
      </w:r>
      <w:r w:rsidR="00336DB1">
        <w:rPr>
          <w:rFonts w:ascii="Century Gothic" w:hAnsi="Century Gothic" w:cs="Arial"/>
        </w:rPr>
        <w:t xml:space="preserve"> was not performed by the municipality and</w:t>
      </w:r>
      <w:r w:rsidRPr="00163A1E">
        <w:rPr>
          <w:rFonts w:ascii="Century Gothic" w:hAnsi="Century Gothic" w:cs="Arial"/>
        </w:rPr>
        <w:t xml:space="preserve"> they deem it necessary</w:t>
      </w:r>
      <w:r w:rsidR="00957481">
        <w:rPr>
          <w:rFonts w:ascii="Century Gothic" w:hAnsi="Century Gothic" w:cs="Arial"/>
        </w:rPr>
        <w:t>.</w:t>
      </w:r>
    </w:p>
    <w:p w14:paraId="32AF20CE" w14:textId="10347133" w:rsidR="00F327E7" w:rsidRPr="00163A1E" w:rsidRDefault="00F327E7" w:rsidP="00871EE8">
      <w:pPr>
        <w:pStyle w:val="BodyText"/>
        <w:numPr>
          <w:ilvl w:val="0"/>
          <w:numId w:val="12"/>
        </w:numPr>
        <w:spacing w:beforeLines="60" w:before="144" w:afterLines="60" w:after="144" w:line="240" w:lineRule="auto"/>
        <w:rPr>
          <w:rFonts w:ascii="Century Gothic" w:hAnsi="Century Gothic" w:cs="Arial"/>
        </w:rPr>
      </w:pPr>
      <w:r w:rsidRPr="00163A1E">
        <w:rPr>
          <w:rFonts w:ascii="Century Gothic" w:hAnsi="Century Gothic" w:cs="Arial"/>
        </w:rPr>
        <w:t xml:space="preserve">The municipality may require the </w:t>
      </w:r>
      <w:r w:rsidR="001B3BC5">
        <w:rPr>
          <w:rFonts w:ascii="Century Gothic" w:hAnsi="Century Gothic" w:cs="Arial"/>
        </w:rPr>
        <w:t>customer</w:t>
      </w:r>
      <w:r w:rsidR="001B3BC5" w:rsidRPr="00163A1E">
        <w:rPr>
          <w:rFonts w:ascii="Century Gothic" w:hAnsi="Century Gothic" w:cs="Arial"/>
        </w:rPr>
        <w:t xml:space="preserve"> </w:t>
      </w:r>
      <w:r w:rsidRPr="00163A1E">
        <w:rPr>
          <w:rFonts w:ascii="Century Gothic" w:hAnsi="Century Gothic" w:cs="Arial"/>
        </w:rPr>
        <w:t>to provide ongoing reports on the performance and safety of the installation, including regular maintenance and testing.</w:t>
      </w:r>
    </w:p>
    <w:p w14:paraId="0C4FAF10" w14:textId="46E75FD5" w:rsidR="00F327E7" w:rsidRPr="00D3769D" w:rsidRDefault="00F327E7" w:rsidP="00871EE8">
      <w:pPr>
        <w:pStyle w:val="BodyText"/>
        <w:numPr>
          <w:ilvl w:val="0"/>
          <w:numId w:val="12"/>
        </w:numPr>
        <w:spacing w:beforeLines="60" w:before="144" w:afterLines="60" w:after="144" w:line="240" w:lineRule="auto"/>
        <w:rPr>
          <w:rFonts w:ascii="Century Gothic" w:hAnsi="Century Gothic" w:cs="Arial"/>
        </w:rPr>
      </w:pPr>
      <w:r w:rsidRPr="00163A1E">
        <w:rPr>
          <w:rFonts w:ascii="Century Gothic" w:hAnsi="Century Gothic" w:cs="Arial"/>
        </w:rPr>
        <w:t xml:space="preserve">The municipality may require the </w:t>
      </w:r>
      <w:r w:rsidR="001B3BC5">
        <w:rPr>
          <w:rFonts w:ascii="Century Gothic" w:hAnsi="Century Gothic" w:cs="Arial"/>
        </w:rPr>
        <w:t>customer</w:t>
      </w:r>
      <w:r w:rsidR="001B3BC5" w:rsidRPr="00163A1E">
        <w:rPr>
          <w:rFonts w:ascii="Century Gothic" w:hAnsi="Century Gothic" w:cs="Arial"/>
        </w:rPr>
        <w:t xml:space="preserve"> </w:t>
      </w:r>
      <w:r w:rsidRPr="00163A1E">
        <w:rPr>
          <w:rFonts w:ascii="Century Gothic" w:hAnsi="Century Gothic" w:cs="Arial"/>
        </w:rPr>
        <w:t>to comply with specific technical standards or guidelines, such as those set by NERSA or the South African Bureau of Standards (SABS).</w:t>
      </w:r>
    </w:p>
    <w:p w14:paraId="299BE7DA" w14:textId="2EB3A8DD" w:rsidR="004819FB" w:rsidRDefault="004819FB" w:rsidP="009E17B0">
      <w:pPr>
        <w:pStyle w:val="BodyText"/>
        <w:spacing w:beforeLines="60" w:before="144" w:afterLines="60" w:after="144" w:line="240" w:lineRule="auto"/>
        <w:rPr>
          <w:rFonts w:ascii="Century Gothic" w:hAnsi="Century Gothic" w:cs="Arial"/>
          <w:b/>
        </w:rPr>
      </w:pPr>
      <w:bookmarkStart w:id="43" w:name="_Toc422474369"/>
      <w:r w:rsidRPr="00062382">
        <w:rPr>
          <w:rFonts w:ascii="Century Gothic" w:hAnsi="Century Gothic" w:cs="Arial"/>
          <w:b/>
        </w:rPr>
        <w:t>Step 7:  Sign off all agreements</w:t>
      </w:r>
    </w:p>
    <w:p w14:paraId="0A48B935" w14:textId="77777777" w:rsidR="00C97D28" w:rsidRDefault="00C97D28" w:rsidP="00C97D28">
      <w:pPr>
        <w:pStyle w:val="BodyText"/>
        <w:numPr>
          <w:ilvl w:val="0"/>
          <w:numId w:val="12"/>
        </w:numPr>
        <w:spacing w:beforeLines="60" w:before="144" w:afterLines="60" w:after="144" w:line="240" w:lineRule="auto"/>
        <w:rPr>
          <w:rFonts w:ascii="Century Gothic" w:hAnsi="Century Gothic" w:cs="Arial"/>
        </w:rPr>
      </w:pPr>
      <w:r w:rsidRPr="00C97D28">
        <w:rPr>
          <w:rFonts w:ascii="Century Gothic" w:hAnsi="Century Gothic" w:cs="Arial"/>
        </w:rPr>
        <w:t xml:space="preserve">After the application has been approved, the necessary agreements need to be signed by all parties involved. </w:t>
      </w:r>
    </w:p>
    <w:p w14:paraId="2F8211F6" w14:textId="2588C05F" w:rsidR="00C97D28" w:rsidRDefault="00C97D28" w:rsidP="00C97D28">
      <w:pPr>
        <w:pStyle w:val="BodyText"/>
        <w:numPr>
          <w:ilvl w:val="0"/>
          <w:numId w:val="12"/>
        </w:numPr>
        <w:spacing w:beforeLines="60" w:before="144" w:afterLines="60" w:after="144" w:line="240" w:lineRule="auto"/>
        <w:rPr>
          <w:rFonts w:ascii="Century Gothic" w:hAnsi="Century Gothic" w:cs="Arial"/>
        </w:rPr>
      </w:pPr>
      <w:r w:rsidRPr="00C97D28">
        <w:rPr>
          <w:rFonts w:ascii="Century Gothic" w:hAnsi="Century Gothic" w:cs="Arial"/>
        </w:rPr>
        <w:t>This step formalizes the commitment to the wheeling arrangement and outlines the rights and responsibilities of each party.</w:t>
      </w:r>
    </w:p>
    <w:p w14:paraId="3624FD28" w14:textId="486E819D" w:rsidR="00402463" w:rsidRPr="00C97D28" w:rsidRDefault="00402463" w:rsidP="00C97D28">
      <w:pPr>
        <w:pStyle w:val="BodyText"/>
        <w:numPr>
          <w:ilvl w:val="0"/>
          <w:numId w:val="12"/>
        </w:numPr>
        <w:spacing w:beforeLines="60" w:before="144" w:afterLines="60" w:after="144" w:line="240" w:lineRule="auto"/>
        <w:rPr>
          <w:rFonts w:ascii="Century Gothic" w:hAnsi="Century Gothic" w:cs="Arial"/>
        </w:rPr>
      </w:pPr>
      <w:r>
        <w:rPr>
          <w:rFonts w:ascii="Century Gothic" w:hAnsi="Century Gothic" w:cs="Arial"/>
        </w:rPr>
        <w:t>Details of agreements are</w:t>
      </w:r>
      <w:r w:rsidR="005A7E02">
        <w:rPr>
          <w:rFonts w:ascii="Century Gothic" w:hAnsi="Century Gothic" w:cs="Arial"/>
        </w:rPr>
        <w:t xml:space="preserve"> included in section 8.</w:t>
      </w:r>
    </w:p>
    <w:p w14:paraId="67FBAB16" w14:textId="315778E0" w:rsidR="00F327E7" w:rsidRPr="00163A1E" w:rsidRDefault="00F327E7" w:rsidP="009E17B0">
      <w:pPr>
        <w:pStyle w:val="BodyText"/>
        <w:spacing w:beforeLines="60" w:before="144" w:afterLines="60" w:after="144" w:line="240" w:lineRule="auto"/>
        <w:rPr>
          <w:rFonts w:ascii="Century Gothic" w:hAnsi="Century Gothic" w:cs="Arial"/>
          <w:b/>
        </w:rPr>
      </w:pPr>
      <w:r w:rsidRPr="00163A1E">
        <w:rPr>
          <w:rFonts w:ascii="Century Gothic" w:hAnsi="Century Gothic" w:cs="Arial"/>
          <w:b/>
        </w:rPr>
        <w:t xml:space="preserve">Step </w:t>
      </w:r>
      <w:r w:rsidR="00402463">
        <w:rPr>
          <w:rFonts w:ascii="Century Gothic" w:hAnsi="Century Gothic" w:cs="Arial"/>
          <w:b/>
        </w:rPr>
        <w:t>8</w:t>
      </w:r>
      <w:r w:rsidRPr="00163A1E">
        <w:rPr>
          <w:rFonts w:ascii="Century Gothic" w:hAnsi="Century Gothic" w:cs="Arial"/>
          <w:b/>
        </w:rPr>
        <w:t xml:space="preserve">: </w:t>
      </w:r>
      <w:bookmarkEnd w:id="43"/>
      <w:r w:rsidR="007C75CB" w:rsidRPr="007C75CB">
        <w:t xml:space="preserve"> </w:t>
      </w:r>
      <w:r w:rsidR="000636BD">
        <w:rPr>
          <w:rFonts w:ascii="Century Gothic" w:hAnsi="Century Gothic" w:cs="Arial"/>
          <w:b/>
        </w:rPr>
        <w:t xml:space="preserve">Tariff </w:t>
      </w:r>
      <w:r w:rsidR="00B71542">
        <w:rPr>
          <w:rFonts w:ascii="Century Gothic" w:hAnsi="Century Gothic" w:cs="Arial"/>
          <w:b/>
        </w:rPr>
        <w:t>changed,</w:t>
      </w:r>
      <w:r w:rsidR="000636BD">
        <w:rPr>
          <w:rFonts w:ascii="Century Gothic" w:hAnsi="Century Gothic" w:cs="Arial"/>
          <w:b/>
        </w:rPr>
        <w:t xml:space="preserve"> and wheeling commences</w:t>
      </w:r>
    </w:p>
    <w:p w14:paraId="40EA65CD" w14:textId="6F5163FD" w:rsidR="00F327E7" w:rsidRPr="00163A1E" w:rsidRDefault="00B72842" w:rsidP="00871EE8">
      <w:pPr>
        <w:pStyle w:val="BodyText"/>
        <w:numPr>
          <w:ilvl w:val="0"/>
          <w:numId w:val="12"/>
        </w:numPr>
        <w:spacing w:beforeLines="60" w:before="144" w:afterLines="60" w:after="144" w:line="240" w:lineRule="auto"/>
        <w:rPr>
          <w:rFonts w:ascii="Century Gothic" w:hAnsi="Century Gothic" w:cs="Arial"/>
        </w:rPr>
      </w:pPr>
      <w:r>
        <w:rPr>
          <w:rFonts w:ascii="Century Gothic" w:hAnsi="Century Gothic" w:cs="Arial"/>
        </w:rPr>
        <w:t>T</w:t>
      </w:r>
      <w:r w:rsidR="00F327E7" w:rsidRPr="00163A1E">
        <w:rPr>
          <w:rFonts w:ascii="Century Gothic" w:hAnsi="Century Gothic" w:cs="Arial"/>
        </w:rPr>
        <w:t xml:space="preserve">he </w:t>
      </w:r>
      <w:r w:rsidR="00B15C23">
        <w:rPr>
          <w:rFonts w:ascii="Century Gothic" w:hAnsi="Century Gothic" w:cs="Arial"/>
        </w:rPr>
        <w:t>addition/</w:t>
      </w:r>
      <w:r w:rsidR="00F327E7" w:rsidRPr="00163A1E">
        <w:rPr>
          <w:rFonts w:ascii="Century Gothic" w:hAnsi="Century Gothic" w:cs="Arial"/>
        </w:rPr>
        <w:t xml:space="preserve">change </w:t>
      </w:r>
      <w:r w:rsidR="006B6FC3">
        <w:rPr>
          <w:rFonts w:ascii="Century Gothic" w:hAnsi="Century Gothic" w:cs="Arial"/>
        </w:rPr>
        <w:t>of</w:t>
      </w:r>
      <w:r w:rsidR="00F327E7" w:rsidRPr="00163A1E">
        <w:rPr>
          <w:rFonts w:ascii="Century Gothic" w:hAnsi="Century Gothic" w:cs="Arial"/>
        </w:rPr>
        <w:t xml:space="preserve"> the wheeling tariff shall be implemented</w:t>
      </w:r>
      <w:r w:rsidR="00934148">
        <w:rPr>
          <w:rFonts w:ascii="Century Gothic" w:hAnsi="Century Gothic" w:cs="Arial"/>
        </w:rPr>
        <w:t>.</w:t>
      </w:r>
    </w:p>
    <w:p w14:paraId="7B504734" w14:textId="2075C1B8" w:rsidR="00F327E7" w:rsidRPr="00163A1E" w:rsidRDefault="00F327E7" w:rsidP="00871EE8">
      <w:pPr>
        <w:pStyle w:val="BodyText"/>
        <w:numPr>
          <w:ilvl w:val="0"/>
          <w:numId w:val="12"/>
        </w:numPr>
        <w:spacing w:beforeLines="60" w:before="144" w:afterLines="60" w:after="144" w:line="240" w:lineRule="auto"/>
        <w:rPr>
          <w:rFonts w:ascii="Century Gothic" w:hAnsi="Century Gothic" w:cs="Arial"/>
        </w:rPr>
      </w:pPr>
      <w:r w:rsidRPr="00163A1E">
        <w:rPr>
          <w:rFonts w:ascii="Century Gothic" w:hAnsi="Century Gothic" w:cs="Arial"/>
        </w:rPr>
        <w:t xml:space="preserve">The municipality may require the </w:t>
      </w:r>
      <w:r w:rsidR="000149E3">
        <w:rPr>
          <w:rFonts w:ascii="Century Gothic" w:hAnsi="Century Gothic" w:cs="Arial"/>
        </w:rPr>
        <w:t>customer</w:t>
      </w:r>
      <w:r w:rsidR="000149E3" w:rsidRPr="00163A1E">
        <w:rPr>
          <w:rFonts w:ascii="Century Gothic" w:hAnsi="Century Gothic" w:cs="Arial"/>
        </w:rPr>
        <w:t xml:space="preserve"> </w:t>
      </w:r>
      <w:r w:rsidRPr="00163A1E">
        <w:rPr>
          <w:rFonts w:ascii="Century Gothic" w:hAnsi="Century Gothic" w:cs="Arial"/>
        </w:rPr>
        <w:t>to provide ongoing reports on the energy usage of the installation, for billing and monitoring purposes.</w:t>
      </w:r>
    </w:p>
    <w:p w14:paraId="51C89F02" w14:textId="544B67EE" w:rsidR="00F327E7" w:rsidRPr="00163A1E" w:rsidRDefault="00F327E7" w:rsidP="00871EE8">
      <w:pPr>
        <w:pStyle w:val="BodyText"/>
        <w:numPr>
          <w:ilvl w:val="0"/>
          <w:numId w:val="12"/>
        </w:numPr>
        <w:spacing w:beforeLines="60" w:before="144" w:afterLines="60" w:after="144" w:line="240" w:lineRule="auto"/>
        <w:rPr>
          <w:rFonts w:ascii="Century Gothic" w:hAnsi="Century Gothic" w:cs="Arial"/>
        </w:rPr>
      </w:pPr>
      <w:r w:rsidRPr="00163A1E">
        <w:rPr>
          <w:rFonts w:ascii="Century Gothic" w:hAnsi="Century Gothic" w:cs="Arial"/>
        </w:rPr>
        <w:t xml:space="preserve">The municipality may require the </w:t>
      </w:r>
      <w:r w:rsidR="000149E3">
        <w:rPr>
          <w:rFonts w:ascii="Century Gothic" w:hAnsi="Century Gothic" w:cs="Arial"/>
        </w:rPr>
        <w:t>customer</w:t>
      </w:r>
      <w:r w:rsidR="000149E3" w:rsidRPr="00163A1E">
        <w:rPr>
          <w:rFonts w:ascii="Century Gothic" w:hAnsi="Century Gothic" w:cs="Arial"/>
        </w:rPr>
        <w:t xml:space="preserve"> </w:t>
      </w:r>
      <w:r w:rsidRPr="00163A1E">
        <w:rPr>
          <w:rFonts w:ascii="Century Gothic" w:hAnsi="Century Gothic" w:cs="Arial"/>
        </w:rPr>
        <w:t>to comply with specific billing and invoicing procedures, such as submitting regular meter readings or using a specific billing system.</w:t>
      </w:r>
    </w:p>
    <w:p w14:paraId="6FD8CDDC" w14:textId="6BDEEC4D" w:rsidR="004D5A90" w:rsidRDefault="00F327E7" w:rsidP="00871EE8">
      <w:pPr>
        <w:pStyle w:val="BodyText"/>
        <w:numPr>
          <w:ilvl w:val="0"/>
          <w:numId w:val="12"/>
        </w:numPr>
        <w:spacing w:beforeLines="60" w:before="144" w:afterLines="60" w:after="144" w:line="240" w:lineRule="auto"/>
        <w:rPr>
          <w:rFonts w:ascii="Century Gothic" w:hAnsi="Century Gothic" w:cs="Arial"/>
        </w:rPr>
      </w:pPr>
      <w:r w:rsidRPr="00163A1E">
        <w:rPr>
          <w:rFonts w:ascii="Century Gothic" w:hAnsi="Century Gothic" w:cs="Arial"/>
        </w:rPr>
        <w:t xml:space="preserve">The municipality may require the </w:t>
      </w:r>
      <w:r w:rsidR="00614E19">
        <w:rPr>
          <w:rFonts w:ascii="Century Gothic" w:hAnsi="Century Gothic" w:cs="Arial"/>
        </w:rPr>
        <w:t>customer</w:t>
      </w:r>
      <w:r w:rsidR="00614E19" w:rsidRPr="00163A1E">
        <w:rPr>
          <w:rFonts w:ascii="Century Gothic" w:hAnsi="Century Gothic" w:cs="Arial"/>
        </w:rPr>
        <w:t xml:space="preserve"> </w:t>
      </w:r>
      <w:r w:rsidRPr="00163A1E">
        <w:rPr>
          <w:rFonts w:ascii="Century Gothic" w:hAnsi="Century Gothic" w:cs="Arial"/>
        </w:rPr>
        <w:t>to comply with specific legal and regulatory requirements, such as obtaining insurance or permits for the installation.</w:t>
      </w:r>
    </w:p>
    <w:p w14:paraId="6A45ED3F" w14:textId="77777777" w:rsidR="00614E19" w:rsidRPr="00D3769D" w:rsidRDefault="00614E19" w:rsidP="00831A39">
      <w:pPr>
        <w:pStyle w:val="BodyText"/>
        <w:spacing w:beforeLines="60" w:before="144" w:afterLines="60" w:after="144" w:line="240" w:lineRule="auto"/>
        <w:ind w:left="720"/>
        <w:rPr>
          <w:rFonts w:ascii="Century Gothic" w:hAnsi="Century Gothic" w:cs="Arial"/>
        </w:rPr>
      </w:pPr>
    </w:p>
    <w:p w14:paraId="464DAE4E" w14:textId="78E99702" w:rsidR="008F3E49" w:rsidRPr="00E55368" w:rsidRDefault="00FD214B" w:rsidP="009E17B0">
      <w:pPr>
        <w:pStyle w:val="Heading1"/>
        <w:spacing w:beforeLines="60" w:before="144" w:afterLines="60" w:after="144" w:line="240" w:lineRule="auto"/>
      </w:pPr>
      <w:bookmarkStart w:id="44" w:name="_Toc145484201"/>
      <w:r w:rsidRPr="00E55368">
        <w:lastRenderedPageBreak/>
        <w:t>G</w:t>
      </w:r>
      <w:r w:rsidR="00AC5EA2" w:rsidRPr="00E55368">
        <w:t xml:space="preserve">enerator </w:t>
      </w:r>
      <w:r w:rsidR="00995401">
        <w:t>C</w:t>
      </w:r>
      <w:r w:rsidR="00BF5BB5" w:rsidRPr="00E55368">
        <w:t xml:space="preserve">onnection </w:t>
      </w:r>
      <w:r w:rsidR="00995401">
        <w:t>P</w:t>
      </w:r>
      <w:r w:rsidR="00BF5BB5" w:rsidRPr="00E55368">
        <w:t>rocess</w:t>
      </w:r>
      <w:bookmarkEnd w:id="35"/>
      <w:bookmarkEnd w:id="44"/>
    </w:p>
    <w:p w14:paraId="7ABD4EAA" w14:textId="77777777" w:rsidR="004621EF" w:rsidRPr="004621EF" w:rsidRDefault="004621EF" w:rsidP="009E17B0">
      <w:pPr>
        <w:shd w:val="clear" w:color="auto" w:fill="F2F2F2" w:themeFill="background1" w:themeFillShade="F2"/>
        <w:spacing w:beforeLines="60" w:before="144" w:afterLines="60" w:after="144" w:line="240" w:lineRule="auto"/>
        <w:rPr>
          <w:rFonts w:ascii="Century Gothic" w:hAnsi="Century Gothic"/>
          <w:b/>
          <w:bCs/>
          <w:i/>
          <w:iCs/>
          <w:u w:val="single"/>
        </w:rPr>
      </w:pPr>
      <w:r w:rsidRPr="004621EF">
        <w:rPr>
          <w:rFonts w:ascii="Segoe UI Emoji" w:hAnsi="Segoe UI Emoji" w:cs="Segoe UI Emoji"/>
          <w:i/>
          <w:iCs/>
        </w:rPr>
        <w:t>🔍</w:t>
      </w:r>
      <w:r w:rsidRPr="004621EF">
        <w:rPr>
          <w:rFonts w:ascii="Century Gothic" w:hAnsi="Century Gothic"/>
          <w:b/>
          <w:bCs/>
          <w:i/>
          <w:iCs/>
          <w:u w:val="single"/>
        </w:rPr>
        <w:t xml:space="preserve"> Explanatory notes: </w:t>
      </w:r>
    </w:p>
    <w:p w14:paraId="5859D79C" w14:textId="6D656109" w:rsidR="006E4BEC" w:rsidRPr="004621EF" w:rsidRDefault="004621EF" w:rsidP="009E17B0">
      <w:pPr>
        <w:pBdr>
          <w:top w:val="nil"/>
          <w:left w:val="nil"/>
          <w:bottom w:val="nil"/>
          <w:right w:val="nil"/>
          <w:between w:val="nil"/>
        </w:pBdr>
        <w:shd w:val="clear" w:color="auto" w:fill="F2F2F2" w:themeFill="background1" w:themeFillShade="F2"/>
        <w:spacing w:beforeLines="60" w:before="144" w:afterLines="60" w:after="144" w:line="240" w:lineRule="auto"/>
        <w:rPr>
          <w:rFonts w:ascii="Century Gothic" w:hAnsi="Century Gothic"/>
          <w:i/>
          <w:iCs/>
          <w:color w:val="000000"/>
        </w:rPr>
      </w:pPr>
      <w:r w:rsidRPr="004621EF">
        <w:rPr>
          <w:rFonts w:ascii="Century Gothic" w:hAnsi="Century Gothic"/>
          <w:i/>
          <w:iCs/>
          <w:color w:val="000000"/>
        </w:rPr>
        <w:t xml:space="preserve">The generator connection process involves submitting an application to the Municipality, obtaining approval, installing the generator according to regulations, conducting inspections if necessary, connecting to the municipal network, and providing ongoing reports on performance. The </w:t>
      </w:r>
      <w:r w:rsidR="00CC6D7D">
        <w:rPr>
          <w:rFonts w:ascii="Century Gothic" w:hAnsi="Century Gothic"/>
          <w:i/>
          <w:iCs/>
          <w:color w:val="000000"/>
        </w:rPr>
        <w:t>Municipality</w:t>
      </w:r>
      <w:r w:rsidRPr="004621EF">
        <w:rPr>
          <w:rFonts w:ascii="Century Gothic" w:hAnsi="Century Gothic"/>
          <w:i/>
          <w:iCs/>
          <w:color w:val="000000"/>
        </w:rPr>
        <w:t xml:space="preserve"> oversees the process, ensuring compliance and adherence to standards.</w:t>
      </w:r>
    </w:p>
    <w:p w14:paraId="338712AA" w14:textId="0D24BD6D" w:rsidR="004621EF" w:rsidRPr="004621EF" w:rsidRDefault="004621EF" w:rsidP="009E17B0">
      <w:pPr>
        <w:spacing w:beforeLines="60" w:before="144" w:afterLines="60" w:after="144" w:line="240" w:lineRule="auto"/>
        <w:rPr>
          <w:rFonts w:ascii="Century Gothic" w:hAnsi="Century Gothic"/>
          <w:b/>
          <w:bCs/>
          <w:u w:val="single"/>
        </w:rPr>
      </w:pPr>
      <w:r w:rsidRPr="00FE49F7">
        <w:rPr>
          <w:rFonts w:ascii="Segoe UI Emoji" w:hAnsi="Segoe UI Emoji" w:cs="Segoe UI Emoji"/>
          <w:b/>
          <w:bCs/>
          <w:u w:val="single"/>
        </w:rPr>
        <w:t>💡</w:t>
      </w:r>
      <w:r w:rsidRPr="00FE49F7">
        <w:rPr>
          <w:rFonts w:ascii="Century Gothic" w:hAnsi="Century Gothic"/>
          <w:b/>
          <w:bCs/>
          <w:u w:val="single"/>
        </w:rPr>
        <w:t xml:space="preserve">Illustrative example </w:t>
      </w:r>
    </w:p>
    <w:p w14:paraId="5EE68F06" w14:textId="77777777" w:rsidR="004621EF" w:rsidRPr="004621EF" w:rsidRDefault="00F672B0" w:rsidP="00871EE8">
      <w:pPr>
        <w:pStyle w:val="ListParagraph"/>
        <w:numPr>
          <w:ilvl w:val="0"/>
          <w:numId w:val="35"/>
        </w:numPr>
        <w:pBdr>
          <w:top w:val="nil"/>
          <w:left w:val="nil"/>
          <w:bottom w:val="nil"/>
          <w:right w:val="nil"/>
          <w:between w:val="nil"/>
        </w:pBdr>
        <w:spacing w:beforeLines="60" w:before="144" w:afterLines="60" w:after="144" w:line="240" w:lineRule="auto"/>
        <w:ind w:left="360"/>
        <w:contextualSpacing w:val="0"/>
        <w:rPr>
          <w:rFonts w:ascii="Century Gothic" w:hAnsi="Century Gothic"/>
          <w:color w:val="000000"/>
        </w:rPr>
      </w:pPr>
      <w:r w:rsidRPr="00E55368">
        <w:rPr>
          <w:rFonts w:ascii="Century Gothic" w:hAnsi="Century Gothic"/>
          <w:color w:val="000000"/>
        </w:rPr>
        <w:t xml:space="preserve">Generators </w:t>
      </w:r>
      <w:r w:rsidR="00956A46" w:rsidRPr="00E55368">
        <w:rPr>
          <w:rFonts w:ascii="Century Gothic" w:hAnsi="Century Gothic"/>
          <w:color w:val="000000"/>
        </w:rPr>
        <w:t>applying</w:t>
      </w:r>
      <w:r w:rsidRPr="00E55368">
        <w:rPr>
          <w:rFonts w:ascii="Century Gothic" w:hAnsi="Century Gothic"/>
          <w:color w:val="000000"/>
        </w:rPr>
        <w:t xml:space="preserve"> to </w:t>
      </w:r>
      <w:r w:rsidR="00956A46" w:rsidRPr="00E55368">
        <w:rPr>
          <w:rFonts w:ascii="Century Gothic" w:hAnsi="Century Gothic"/>
          <w:color w:val="000000"/>
        </w:rPr>
        <w:t xml:space="preserve">connect to </w:t>
      </w:r>
      <w:r w:rsidRPr="00E55368">
        <w:rPr>
          <w:rFonts w:ascii="Century Gothic" w:hAnsi="Century Gothic"/>
          <w:color w:val="000000"/>
        </w:rPr>
        <w:t xml:space="preserve">Eskom’s grid will </w:t>
      </w:r>
      <w:r w:rsidR="00956A46" w:rsidRPr="00E55368">
        <w:rPr>
          <w:rFonts w:ascii="Century Gothic" w:hAnsi="Century Gothic"/>
          <w:color w:val="000000"/>
        </w:rPr>
        <w:t xml:space="preserve">need to follow Eskom’s grid connection process. Generator’s applying to connect to the Municipal grid will be assessed </w:t>
      </w:r>
      <w:r w:rsidR="001E410A" w:rsidRPr="00E55368">
        <w:rPr>
          <w:rFonts w:ascii="Century Gothic" w:hAnsi="Century Gothic"/>
          <w:color w:val="000000"/>
        </w:rPr>
        <w:t>in line with the existing Embedded Generation Policy.</w:t>
      </w:r>
      <w:r w:rsidR="00956A46" w:rsidRPr="00E55368">
        <w:rPr>
          <w:rFonts w:ascii="Century Gothic" w:hAnsi="Century Gothic"/>
          <w:color w:val="000000"/>
        </w:rPr>
        <w:t xml:space="preserve"> </w:t>
      </w:r>
    </w:p>
    <w:p w14:paraId="68CB5923" w14:textId="2F37A281" w:rsidR="004D6FE0" w:rsidRPr="00E55368" w:rsidRDefault="00FE1EEB" w:rsidP="00871EE8">
      <w:pPr>
        <w:pStyle w:val="ListParagraph"/>
        <w:numPr>
          <w:ilvl w:val="0"/>
          <w:numId w:val="35"/>
        </w:numPr>
        <w:pBdr>
          <w:top w:val="nil"/>
          <w:left w:val="nil"/>
          <w:bottom w:val="nil"/>
          <w:right w:val="nil"/>
          <w:between w:val="nil"/>
        </w:pBdr>
        <w:spacing w:beforeLines="60" w:before="144" w:afterLines="60" w:after="144" w:line="240" w:lineRule="auto"/>
        <w:ind w:left="360"/>
        <w:contextualSpacing w:val="0"/>
        <w:rPr>
          <w:rFonts w:ascii="Century Gothic" w:hAnsi="Century Gothic"/>
          <w:color w:val="000000"/>
        </w:rPr>
      </w:pPr>
      <w:r w:rsidRPr="00E55368">
        <w:rPr>
          <w:rFonts w:ascii="Century Gothic" w:hAnsi="Century Gothic"/>
          <w:color w:val="000000"/>
        </w:rPr>
        <w:t xml:space="preserve">The Municipality has developed Requirements for </w:t>
      </w:r>
      <w:r w:rsidR="007D6EEE">
        <w:rPr>
          <w:rFonts w:ascii="Century Gothic" w:hAnsi="Century Gothic"/>
          <w:color w:val="000000"/>
        </w:rPr>
        <w:t>Embedded Generator (</w:t>
      </w:r>
      <w:r w:rsidRPr="00E55368">
        <w:rPr>
          <w:rFonts w:ascii="Century Gothic" w:hAnsi="Century Gothic"/>
          <w:color w:val="000000"/>
        </w:rPr>
        <w:t>EG</w:t>
      </w:r>
      <w:r w:rsidR="007D6EEE">
        <w:rPr>
          <w:rFonts w:ascii="Century Gothic" w:hAnsi="Century Gothic"/>
          <w:color w:val="000000"/>
        </w:rPr>
        <w:t>)</w:t>
      </w:r>
      <w:r w:rsidRPr="00E55368">
        <w:rPr>
          <w:rFonts w:ascii="Century Gothic" w:hAnsi="Century Gothic"/>
          <w:color w:val="000000"/>
        </w:rPr>
        <w:t xml:space="preserve"> to connect to the Municipal Network.</w:t>
      </w:r>
      <w:r w:rsidR="004D6FE0" w:rsidRPr="00E55368">
        <w:rPr>
          <w:rFonts w:ascii="Century Gothic" w:hAnsi="Century Gothic"/>
          <w:color w:val="000000"/>
        </w:rPr>
        <w:t xml:space="preserve"> These remain applicable in the case of generators connecting to wheel electricity.</w:t>
      </w:r>
    </w:p>
    <w:p w14:paraId="566F0A02" w14:textId="45CDFCC7" w:rsidR="004A10EC" w:rsidRPr="009238FB" w:rsidRDefault="004A10EC" w:rsidP="00871EE8">
      <w:pPr>
        <w:pStyle w:val="ListParagraph"/>
        <w:numPr>
          <w:ilvl w:val="0"/>
          <w:numId w:val="35"/>
        </w:numPr>
        <w:pBdr>
          <w:top w:val="nil"/>
          <w:left w:val="nil"/>
          <w:bottom w:val="nil"/>
          <w:right w:val="nil"/>
          <w:between w:val="nil"/>
        </w:pBdr>
        <w:spacing w:beforeLines="60" w:before="144" w:afterLines="60" w:after="144" w:line="240" w:lineRule="auto"/>
        <w:ind w:left="360"/>
        <w:contextualSpacing w:val="0"/>
        <w:rPr>
          <w:rFonts w:ascii="Century Gothic" w:hAnsi="Century Gothic"/>
          <w:color w:val="000000"/>
        </w:rPr>
      </w:pPr>
      <w:r w:rsidRPr="009238FB">
        <w:rPr>
          <w:rFonts w:ascii="Century Gothic" w:hAnsi="Century Gothic"/>
          <w:color w:val="000000"/>
        </w:rPr>
        <w:t>According to the latest Schedule 2 of the ERA</w:t>
      </w:r>
      <w:r w:rsidR="002B38D4" w:rsidRPr="009238FB">
        <w:rPr>
          <w:rFonts w:ascii="Century Gothic" w:hAnsi="Century Gothic"/>
          <w:color w:val="000000"/>
        </w:rPr>
        <w:t xml:space="preserve"> (</w:t>
      </w:r>
      <w:r w:rsidR="002B38D4" w:rsidRPr="00831A39">
        <w:rPr>
          <w:rFonts w:ascii="Century Gothic" w:hAnsi="Century Gothic"/>
        </w:rPr>
        <w:t xml:space="preserve">First released on 15 December 2022 with a re-release on 17 January 2023 with a minor correction. Available here: </w:t>
      </w:r>
      <w:hyperlink r:id="rId58" w:history="1">
        <w:r w:rsidR="002B38D4" w:rsidRPr="00831A39">
          <w:rPr>
            <w:rStyle w:val="Hyperlink"/>
            <w:rFonts w:ascii="Century Gothic" w:hAnsi="Century Gothic"/>
          </w:rPr>
          <w:t>Electricity Regulation Act: Amendment: Licensing Exemption and Registration Notice. Govt Gazette No 47877, 17 January 2023</w:t>
        </w:r>
      </w:hyperlink>
      <w:r w:rsidR="002B38D4" w:rsidRPr="00831A39">
        <w:rPr>
          <w:rFonts w:ascii="Century Gothic" w:hAnsi="Century Gothic"/>
        </w:rPr>
        <w:t>)</w:t>
      </w:r>
      <w:r w:rsidR="002B38D4" w:rsidRPr="009238FB">
        <w:rPr>
          <w:rFonts w:ascii="Century Gothic" w:hAnsi="Century Gothic"/>
          <w:color w:val="000000"/>
        </w:rPr>
        <w:t xml:space="preserve"> </w:t>
      </w:r>
      <w:proofErr w:type="spellStart"/>
      <w:r w:rsidR="00550979">
        <w:rPr>
          <w:rFonts w:ascii="Century Gothic" w:hAnsi="Century Gothic"/>
          <w:color w:val="000000"/>
        </w:rPr>
        <w:t>The</w:t>
      </w:r>
      <w:r w:rsidRPr="009238FB">
        <w:rPr>
          <w:rFonts w:ascii="Century Gothic" w:hAnsi="Century Gothic"/>
          <w:color w:val="000000"/>
        </w:rPr>
        <w:t>following</w:t>
      </w:r>
      <w:proofErr w:type="spellEnd"/>
      <w:r w:rsidRPr="009238FB">
        <w:rPr>
          <w:rFonts w:ascii="Century Gothic" w:hAnsi="Century Gothic"/>
          <w:color w:val="000000"/>
        </w:rPr>
        <w:t xml:space="preserve"> registration and licensing exemptions exist for Embedded Gener</w:t>
      </w:r>
      <w:r w:rsidR="00C32884" w:rsidRPr="009238FB">
        <w:rPr>
          <w:rFonts w:ascii="Century Gothic" w:hAnsi="Century Gothic"/>
          <w:color w:val="000000"/>
        </w:rPr>
        <w:t>ation connected to the Municipal Network</w:t>
      </w:r>
      <w:r w:rsidRPr="009238FB">
        <w:rPr>
          <w:rFonts w:ascii="Century Gothic" w:hAnsi="Century Gothic"/>
          <w:color w:val="000000"/>
        </w:rPr>
        <w:t>:</w:t>
      </w:r>
    </w:p>
    <w:p w14:paraId="7CDFC497" w14:textId="0BEF02D3" w:rsidR="004A10EC" w:rsidRPr="00E55368" w:rsidRDefault="004A10EC" w:rsidP="00871EE8">
      <w:pPr>
        <w:pStyle w:val="ListParagraph"/>
        <w:numPr>
          <w:ilvl w:val="0"/>
          <w:numId w:val="49"/>
        </w:numPr>
        <w:pBdr>
          <w:top w:val="nil"/>
          <w:left w:val="nil"/>
          <w:bottom w:val="nil"/>
          <w:right w:val="nil"/>
          <w:between w:val="nil"/>
        </w:pBdr>
        <w:spacing w:beforeLines="60" w:before="144" w:afterLines="60" w:after="144" w:line="240" w:lineRule="auto"/>
        <w:contextualSpacing w:val="0"/>
        <w:rPr>
          <w:rFonts w:ascii="Century Gothic" w:hAnsi="Century Gothic"/>
          <w:color w:val="000000"/>
        </w:rPr>
      </w:pPr>
      <w:r w:rsidRPr="00E55368">
        <w:rPr>
          <w:rFonts w:ascii="Century Gothic" w:hAnsi="Century Gothic"/>
          <w:color w:val="000000"/>
        </w:rPr>
        <w:t>Exempt from NERSA registration and licensing:</w:t>
      </w:r>
    </w:p>
    <w:p w14:paraId="2F85DB34" w14:textId="6A98D557" w:rsidR="004A10EC" w:rsidRPr="00E55368" w:rsidRDefault="004A10EC" w:rsidP="00871EE8">
      <w:pPr>
        <w:pStyle w:val="ListParagraph"/>
        <w:numPr>
          <w:ilvl w:val="1"/>
          <w:numId w:val="51"/>
        </w:numPr>
        <w:pBdr>
          <w:top w:val="nil"/>
          <w:left w:val="nil"/>
          <w:bottom w:val="nil"/>
          <w:right w:val="nil"/>
          <w:between w:val="nil"/>
        </w:pBdr>
        <w:spacing w:beforeLines="60" w:before="144" w:afterLines="60" w:after="144" w:line="240" w:lineRule="auto"/>
        <w:contextualSpacing w:val="0"/>
        <w:rPr>
          <w:rFonts w:ascii="Century Gothic" w:hAnsi="Century Gothic"/>
          <w:color w:val="000000"/>
        </w:rPr>
      </w:pPr>
      <w:r w:rsidRPr="00E55368">
        <w:rPr>
          <w:rFonts w:ascii="Century Gothic" w:hAnsi="Century Gothic"/>
          <w:color w:val="000000"/>
        </w:rPr>
        <w:t>EG of any size which are primarily for self-consumption (not for wheeling/export)</w:t>
      </w:r>
    </w:p>
    <w:p w14:paraId="3D372797" w14:textId="47A4304C" w:rsidR="004A10EC" w:rsidRPr="00E55368" w:rsidRDefault="004A10EC" w:rsidP="00871EE8">
      <w:pPr>
        <w:pStyle w:val="ListParagraph"/>
        <w:numPr>
          <w:ilvl w:val="1"/>
          <w:numId w:val="51"/>
        </w:numPr>
        <w:pBdr>
          <w:top w:val="nil"/>
          <w:left w:val="nil"/>
          <w:bottom w:val="nil"/>
          <w:right w:val="nil"/>
          <w:between w:val="nil"/>
        </w:pBdr>
        <w:spacing w:beforeLines="60" w:before="144" w:afterLines="60" w:after="144" w:line="240" w:lineRule="auto"/>
        <w:contextualSpacing w:val="0"/>
        <w:rPr>
          <w:rFonts w:ascii="Century Gothic" w:hAnsi="Century Gothic"/>
          <w:color w:val="000000"/>
        </w:rPr>
      </w:pPr>
      <w:r w:rsidRPr="00E55368">
        <w:rPr>
          <w:rFonts w:ascii="Century Gothic" w:hAnsi="Century Gothic"/>
          <w:color w:val="000000"/>
        </w:rPr>
        <w:t>EG for wheeling/export up to 100kW</w:t>
      </w:r>
    </w:p>
    <w:p w14:paraId="0833F7C5" w14:textId="77777777" w:rsidR="00C32884" w:rsidRPr="00E55368" w:rsidRDefault="004A10EC" w:rsidP="00871EE8">
      <w:pPr>
        <w:pStyle w:val="ListParagraph"/>
        <w:numPr>
          <w:ilvl w:val="0"/>
          <w:numId w:val="49"/>
        </w:numPr>
        <w:pBdr>
          <w:top w:val="nil"/>
          <w:left w:val="nil"/>
          <w:bottom w:val="nil"/>
          <w:right w:val="nil"/>
          <w:between w:val="nil"/>
        </w:pBdr>
        <w:spacing w:beforeLines="60" w:before="144" w:afterLines="60" w:after="144" w:line="240" w:lineRule="auto"/>
        <w:contextualSpacing w:val="0"/>
        <w:rPr>
          <w:rFonts w:ascii="Century Gothic" w:hAnsi="Century Gothic"/>
          <w:color w:val="000000"/>
        </w:rPr>
      </w:pPr>
      <w:r w:rsidRPr="00E55368">
        <w:rPr>
          <w:rFonts w:ascii="Century Gothic" w:hAnsi="Century Gothic"/>
          <w:color w:val="000000"/>
        </w:rPr>
        <w:t>Require NERSA registration but exempt from licensing:</w:t>
      </w:r>
    </w:p>
    <w:p w14:paraId="42B55FE3" w14:textId="30D5769B" w:rsidR="004A10EC" w:rsidRPr="00E55368" w:rsidRDefault="004A10EC" w:rsidP="00871EE8">
      <w:pPr>
        <w:pStyle w:val="ListParagraph"/>
        <w:numPr>
          <w:ilvl w:val="1"/>
          <w:numId w:val="50"/>
        </w:numPr>
        <w:pBdr>
          <w:top w:val="nil"/>
          <w:left w:val="nil"/>
          <w:bottom w:val="nil"/>
          <w:right w:val="nil"/>
          <w:between w:val="nil"/>
        </w:pBdr>
        <w:spacing w:beforeLines="60" w:before="144" w:afterLines="60" w:after="144" w:line="240" w:lineRule="auto"/>
        <w:contextualSpacing w:val="0"/>
        <w:rPr>
          <w:rFonts w:ascii="Century Gothic" w:hAnsi="Century Gothic"/>
          <w:color w:val="000000"/>
        </w:rPr>
      </w:pPr>
      <w:r w:rsidRPr="00E55368">
        <w:rPr>
          <w:rFonts w:ascii="Century Gothic" w:hAnsi="Century Gothic"/>
          <w:color w:val="000000"/>
        </w:rPr>
        <w:t>EG for wheeling/export over 100kW</w:t>
      </w:r>
    </w:p>
    <w:p w14:paraId="6AA15FF0" w14:textId="4DF88912" w:rsidR="004621EF" w:rsidRPr="004621EF" w:rsidRDefault="004D6FE0" w:rsidP="00871EE8">
      <w:pPr>
        <w:pStyle w:val="ListParagraph"/>
        <w:numPr>
          <w:ilvl w:val="0"/>
          <w:numId w:val="49"/>
        </w:numPr>
        <w:pBdr>
          <w:top w:val="nil"/>
          <w:left w:val="nil"/>
          <w:bottom w:val="nil"/>
          <w:right w:val="nil"/>
          <w:between w:val="nil"/>
        </w:pBdr>
        <w:spacing w:beforeLines="60" w:before="144" w:afterLines="60" w:after="144" w:line="240" w:lineRule="auto"/>
        <w:contextualSpacing w:val="0"/>
        <w:rPr>
          <w:rFonts w:ascii="Century Gothic" w:hAnsi="Century Gothic"/>
          <w:color w:val="000000"/>
        </w:rPr>
      </w:pPr>
      <w:r w:rsidRPr="00E55368">
        <w:rPr>
          <w:rFonts w:ascii="Century Gothic" w:hAnsi="Century Gothic"/>
          <w:color w:val="000000"/>
        </w:rPr>
        <w:t xml:space="preserve">As such, generators over 100kW </w:t>
      </w:r>
      <w:r w:rsidR="00797187" w:rsidRPr="00E55368">
        <w:rPr>
          <w:rFonts w:ascii="Century Gothic" w:hAnsi="Century Gothic"/>
          <w:color w:val="000000"/>
        </w:rPr>
        <w:t>that are built for the purpose of wheeling require NERSA registration</w:t>
      </w:r>
      <w:r w:rsidR="00AD07CD" w:rsidRPr="00E55368">
        <w:rPr>
          <w:rFonts w:ascii="Century Gothic" w:hAnsi="Century Gothic"/>
          <w:color w:val="000000"/>
        </w:rPr>
        <w:t xml:space="preserve"> </w:t>
      </w:r>
      <w:r w:rsidR="000F4CAF" w:rsidRPr="00E55368">
        <w:rPr>
          <w:rFonts w:ascii="Century Gothic" w:hAnsi="Century Gothic"/>
          <w:color w:val="000000"/>
        </w:rPr>
        <w:t>and must comply with the Code</w:t>
      </w:r>
      <w:r w:rsidR="00797187" w:rsidRPr="00E55368">
        <w:rPr>
          <w:rFonts w:ascii="Century Gothic" w:hAnsi="Century Gothic"/>
          <w:color w:val="000000"/>
        </w:rPr>
        <w:t>.</w:t>
      </w:r>
    </w:p>
    <w:p w14:paraId="1CB038DB" w14:textId="30AFAA52" w:rsidR="00057F38" w:rsidRPr="00BF52C8" w:rsidRDefault="001621C6" w:rsidP="00871EE8">
      <w:pPr>
        <w:pStyle w:val="ListParagraph"/>
        <w:numPr>
          <w:ilvl w:val="0"/>
          <w:numId w:val="49"/>
        </w:numPr>
        <w:pBdr>
          <w:top w:val="nil"/>
          <w:left w:val="nil"/>
          <w:bottom w:val="nil"/>
          <w:right w:val="nil"/>
          <w:between w:val="nil"/>
        </w:pBdr>
        <w:spacing w:beforeLines="60" w:before="144" w:afterLines="60" w:after="144" w:line="240" w:lineRule="auto"/>
        <w:contextualSpacing w:val="0"/>
        <w:rPr>
          <w:rFonts w:ascii="Century Gothic" w:hAnsi="Century Gothic"/>
          <w:i/>
          <w:color w:val="000000"/>
        </w:rPr>
      </w:pPr>
      <w:r w:rsidRPr="00E55368">
        <w:rPr>
          <w:rFonts w:ascii="Century Gothic" w:hAnsi="Century Gothic"/>
          <w:color w:val="000000"/>
        </w:rPr>
        <w:t xml:space="preserve">More information on NERSA’s registration process as well as </w:t>
      </w:r>
      <w:r w:rsidR="001A2686" w:rsidRPr="00E55368">
        <w:rPr>
          <w:rFonts w:ascii="Century Gothic" w:hAnsi="Century Gothic"/>
          <w:color w:val="000000"/>
        </w:rPr>
        <w:t xml:space="preserve">the broader process the Municipality will follow when connecting larger than 1 MW generators to the Distribution grid can be found in the </w:t>
      </w:r>
      <w:r w:rsidR="00742D67" w:rsidRPr="004621EF">
        <w:rPr>
          <w:rFonts w:ascii="Century Gothic" w:hAnsi="Century Gothic"/>
          <w:color w:val="000000"/>
        </w:rPr>
        <w:t>Guide for Assessing Embedded Generation 1MW and Larger</w:t>
      </w:r>
      <w:r w:rsidR="005046BA" w:rsidRPr="004621EF">
        <w:rPr>
          <w:rFonts w:ascii="Century Gothic" w:hAnsi="Century Gothic"/>
          <w:color w:val="000000"/>
        </w:rPr>
        <w:t xml:space="preserve"> (The &gt; 1 MW Guide is available online</w:t>
      </w:r>
      <w:r w:rsidR="005046BA" w:rsidRPr="00003616">
        <w:rPr>
          <w:rFonts w:ascii="Century Gothic" w:hAnsi="Century Gothic"/>
          <w:color w:val="000000"/>
        </w:rPr>
        <w:t>:</w:t>
      </w:r>
      <w:r w:rsidR="004621EF">
        <w:rPr>
          <w:rFonts w:ascii="Century Gothic" w:hAnsi="Century Gothic"/>
          <w:sz w:val="18"/>
          <w:szCs w:val="18"/>
          <w:lang w:val="en-US"/>
        </w:rPr>
        <w:t xml:space="preserve"> </w:t>
      </w:r>
      <w:hyperlink r:id="rId59" w:history="1">
        <w:r w:rsidR="005E720A" w:rsidRPr="00487CAB">
          <w:rPr>
            <w:rStyle w:val="Hyperlink"/>
            <w:rFonts w:ascii="Century Gothic" w:hAnsi="Century Gothic"/>
            <w:sz w:val="18"/>
            <w:szCs w:val="18"/>
            <w:lang w:val="en-US"/>
          </w:rPr>
          <w:t>https://www.sseg.org.za/guide-for-municipalities-on-assessing-eg-applications-1mw-and-larger/</w:t>
        </w:r>
      </w:hyperlink>
      <w:r w:rsidR="005046BA" w:rsidRPr="004621EF">
        <w:rPr>
          <w:rStyle w:val="Hyperlink"/>
          <w:rFonts w:ascii="Century Gothic" w:hAnsi="Century Gothic"/>
          <w:sz w:val="18"/>
          <w:szCs w:val="18"/>
          <w:lang w:val="en-US"/>
        </w:rPr>
        <w:t>)</w:t>
      </w:r>
    </w:p>
    <w:p w14:paraId="555D8DA0" w14:textId="240AAD5D" w:rsidR="00DD740E" w:rsidRPr="00E55368" w:rsidRDefault="00DD740E" w:rsidP="00DD740E">
      <w:pPr>
        <w:pStyle w:val="Heading1"/>
      </w:pPr>
      <w:bookmarkStart w:id="45" w:name="_Toc145484202"/>
      <w:r w:rsidRPr="00E55368">
        <w:t xml:space="preserve">Payments </w:t>
      </w:r>
      <w:r>
        <w:t>D</w:t>
      </w:r>
      <w:r w:rsidRPr="00E55368">
        <w:t>ue</w:t>
      </w:r>
      <w:bookmarkEnd w:id="45"/>
      <w:r w:rsidR="003302D0">
        <w:t xml:space="preserve"> </w:t>
      </w:r>
    </w:p>
    <w:p w14:paraId="180A02CC" w14:textId="77777777" w:rsidR="00057F38" w:rsidRDefault="00057F38" w:rsidP="00057F38">
      <w:pPr>
        <w:shd w:val="clear" w:color="auto" w:fill="F2F2F2" w:themeFill="background1" w:themeFillShade="F2"/>
        <w:spacing w:before="120" w:line="240" w:lineRule="auto"/>
        <w:rPr>
          <w:rFonts w:ascii="Century Gothic" w:hAnsi="Century Gothic"/>
          <w:b/>
          <w:bCs/>
          <w:u w:val="single"/>
        </w:rPr>
      </w:pPr>
      <w:r w:rsidRPr="004621EF">
        <w:rPr>
          <w:rFonts w:ascii="Segoe UI Emoji" w:hAnsi="Segoe UI Emoji" w:cs="Segoe UI Emoji"/>
          <w:i/>
          <w:iCs/>
        </w:rPr>
        <w:t>🔍</w:t>
      </w:r>
      <w:r w:rsidRPr="004621EF">
        <w:rPr>
          <w:rFonts w:ascii="Century Gothic" w:hAnsi="Century Gothic"/>
          <w:b/>
          <w:bCs/>
          <w:i/>
          <w:iCs/>
          <w:u w:val="single"/>
        </w:rPr>
        <w:t xml:space="preserve"> </w:t>
      </w:r>
      <w:r w:rsidRPr="00057F38">
        <w:rPr>
          <w:rFonts w:ascii="Century Gothic" w:hAnsi="Century Gothic"/>
          <w:b/>
          <w:bCs/>
          <w:u w:val="single"/>
        </w:rPr>
        <w:t xml:space="preserve">Explanatory notes: </w:t>
      </w:r>
    </w:p>
    <w:p w14:paraId="6AD0336E" w14:textId="2A742C4B" w:rsidR="005E720A" w:rsidRDefault="00057F38" w:rsidP="00057F38">
      <w:pPr>
        <w:shd w:val="clear" w:color="auto" w:fill="F2F2F2" w:themeFill="background1" w:themeFillShade="F2"/>
        <w:spacing w:before="120" w:line="240" w:lineRule="auto"/>
        <w:rPr>
          <w:rFonts w:ascii="Century Gothic" w:hAnsi="Century Gothic"/>
          <w:color w:val="000000"/>
        </w:rPr>
      </w:pPr>
      <w:r w:rsidRPr="00057F38">
        <w:rPr>
          <w:rFonts w:ascii="Century Gothic" w:hAnsi="Century Gothic"/>
          <w:color w:val="000000"/>
        </w:rPr>
        <w:t xml:space="preserve">The payments due by the customer and potential trader may vary. The customer is responsible for paying the wheeling charges and energy consumption fees as per the Municipality's billing procedures. The potential trader, on the other hand, is required to </w:t>
      </w:r>
      <w:r w:rsidR="001B35B9" w:rsidRPr="00057F38">
        <w:rPr>
          <w:rFonts w:ascii="Century Gothic" w:hAnsi="Century Gothic"/>
          <w:color w:val="000000"/>
        </w:rPr>
        <w:t>fulfil</w:t>
      </w:r>
      <w:r w:rsidRPr="00057F38">
        <w:rPr>
          <w:rFonts w:ascii="Century Gothic" w:hAnsi="Century Gothic"/>
          <w:color w:val="000000"/>
        </w:rPr>
        <w:t xml:space="preserve"> financial obligations such as processing fees, use-of-system charges, and any other agreed-upon payments outlined in the wheeling agreement. Additionally, the generator may also be responsible for paying certain fees and charges, including connection fees, metering charges, and other costs related to the installation and operation of the generator. It is the </w:t>
      </w:r>
      <w:r w:rsidR="00CC6D7D">
        <w:rPr>
          <w:rFonts w:ascii="Century Gothic" w:hAnsi="Century Gothic"/>
          <w:color w:val="000000"/>
        </w:rPr>
        <w:t>Municipality</w:t>
      </w:r>
      <w:r w:rsidRPr="00057F38">
        <w:rPr>
          <w:rFonts w:ascii="Century Gothic" w:hAnsi="Century Gothic"/>
          <w:color w:val="000000"/>
        </w:rPr>
        <w:t>'s role to ensure that all parties involved understand and meet their respective payment obligations within the third-party wheeling transaction.</w:t>
      </w:r>
    </w:p>
    <w:p w14:paraId="4709D26D" w14:textId="77777777" w:rsidR="005C61E8" w:rsidRPr="00057F38" w:rsidRDefault="005C61E8" w:rsidP="00057F38">
      <w:pPr>
        <w:shd w:val="clear" w:color="auto" w:fill="F2F2F2" w:themeFill="background1" w:themeFillShade="F2"/>
        <w:spacing w:before="120" w:line="240" w:lineRule="auto"/>
        <w:rPr>
          <w:rFonts w:ascii="Century Gothic" w:hAnsi="Century Gothic"/>
          <w:b/>
          <w:bCs/>
          <w:u w:val="single"/>
        </w:rPr>
      </w:pPr>
    </w:p>
    <w:p w14:paraId="057012CB" w14:textId="77777777" w:rsidR="00057F38" w:rsidRPr="004621EF" w:rsidRDefault="00057F38" w:rsidP="00057F38">
      <w:pPr>
        <w:rPr>
          <w:rFonts w:ascii="Century Gothic" w:hAnsi="Century Gothic"/>
          <w:b/>
          <w:bCs/>
          <w:u w:val="single"/>
        </w:rPr>
      </w:pPr>
      <w:r w:rsidRPr="00FE49F7">
        <w:rPr>
          <w:rFonts w:ascii="Segoe UI Emoji" w:hAnsi="Segoe UI Emoji" w:cs="Segoe UI Emoji"/>
          <w:b/>
          <w:bCs/>
          <w:u w:val="single"/>
        </w:rPr>
        <w:lastRenderedPageBreak/>
        <w:t>💡</w:t>
      </w:r>
      <w:r w:rsidRPr="00FE49F7">
        <w:rPr>
          <w:rFonts w:ascii="Century Gothic" w:hAnsi="Century Gothic"/>
          <w:b/>
          <w:bCs/>
          <w:u w:val="single"/>
        </w:rPr>
        <w:t xml:space="preserve">Illustrative example </w:t>
      </w:r>
    </w:p>
    <w:p w14:paraId="010F1BA7" w14:textId="5051ED22" w:rsidR="00DD740E" w:rsidRPr="00057F38" w:rsidRDefault="00DD740E" w:rsidP="00DD740E">
      <w:pPr>
        <w:pBdr>
          <w:top w:val="nil"/>
          <w:left w:val="nil"/>
          <w:bottom w:val="nil"/>
          <w:right w:val="nil"/>
          <w:between w:val="nil"/>
        </w:pBdr>
        <w:rPr>
          <w:rFonts w:ascii="Century Gothic" w:hAnsi="Century Gothic"/>
          <w:color w:val="000000"/>
        </w:rPr>
      </w:pPr>
      <w:r w:rsidRPr="00057F38">
        <w:rPr>
          <w:rFonts w:ascii="Century Gothic" w:hAnsi="Century Gothic"/>
          <w:color w:val="000000"/>
        </w:rPr>
        <w:t>The generator may be responsible for paying for the following:</w:t>
      </w:r>
    </w:p>
    <w:p w14:paraId="3BA4980E" w14:textId="77777777" w:rsidR="00DD740E" w:rsidRPr="00057F38" w:rsidRDefault="00DD740E" w:rsidP="00DD740E">
      <w:pPr>
        <w:numPr>
          <w:ilvl w:val="0"/>
          <w:numId w:val="1"/>
        </w:numPr>
        <w:pBdr>
          <w:top w:val="nil"/>
          <w:left w:val="nil"/>
          <w:bottom w:val="nil"/>
          <w:right w:val="nil"/>
          <w:between w:val="nil"/>
        </w:pBdr>
        <w:rPr>
          <w:rFonts w:ascii="Century Gothic" w:hAnsi="Century Gothic"/>
          <w:color w:val="000000"/>
        </w:rPr>
      </w:pPr>
      <w:r w:rsidRPr="00057F38">
        <w:rPr>
          <w:rFonts w:ascii="Century Gothic" w:hAnsi="Century Gothic"/>
          <w:color w:val="000000"/>
        </w:rPr>
        <w:t>Connection charges: If applicable, these are fees charged by the network operator to connect the generator to the network. The fees may vary depending on the size of the connection, the type of equipment required, and other factors.</w:t>
      </w:r>
    </w:p>
    <w:p w14:paraId="346A2861" w14:textId="77777777" w:rsidR="00DD740E" w:rsidRPr="00057F38" w:rsidRDefault="00DD740E" w:rsidP="00DD740E">
      <w:pPr>
        <w:numPr>
          <w:ilvl w:val="0"/>
          <w:numId w:val="1"/>
        </w:numPr>
        <w:pBdr>
          <w:top w:val="nil"/>
          <w:left w:val="nil"/>
          <w:bottom w:val="nil"/>
          <w:right w:val="nil"/>
          <w:between w:val="nil"/>
        </w:pBdr>
        <w:rPr>
          <w:rFonts w:ascii="Century Gothic" w:hAnsi="Century Gothic"/>
          <w:color w:val="000000"/>
        </w:rPr>
      </w:pPr>
      <w:r w:rsidRPr="00057F38">
        <w:rPr>
          <w:rFonts w:ascii="Century Gothic" w:hAnsi="Century Gothic"/>
          <w:color w:val="000000"/>
        </w:rPr>
        <w:t>Specialist municipal electrical network impact studies: If required, the generator may have to pay for these studies. The details of payment amounts for such studies need to be discussed with the municipality.</w:t>
      </w:r>
    </w:p>
    <w:p w14:paraId="679BE7A1" w14:textId="77777777" w:rsidR="00DD740E" w:rsidRPr="00057F38" w:rsidRDefault="00DD740E" w:rsidP="00DD740E">
      <w:pPr>
        <w:numPr>
          <w:ilvl w:val="0"/>
          <w:numId w:val="1"/>
        </w:numPr>
        <w:pBdr>
          <w:top w:val="nil"/>
          <w:left w:val="nil"/>
          <w:bottom w:val="nil"/>
          <w:right w:val="nil"/>
          <w:between w:val="nil"/>
        </w:pBdr>
        <w:rPr>
          <w:rFonts w:ascii="Century Gothic" w:hAnsi="Century Gothic"/>
          <w:color w:val="000000"/>
        </w:rPr>
      </w:pPr>
      <w:r w:rsidRPr="00057F38">
        <w:rPr>
          <w:rFonts w:ascii="Century Gothic" w:hAnsi="Century Gothic"/>
          <w:color w:val="000000"/>
        </w:rPr>
        <w:t>Changes required to the municipal electrical network: If any changes are required to the municipal electrical network upstream of the connection point due to the wheeling arrangement, the generator will have to bear the cost.</w:t>
      </w:r>
    </w:p>
    <w:p w14:paraId="6311F5E2" w14:textId="77777777" w:rsidR="00DD740E" w:rsidRPr="00057F38" w:rsidRDefault="00DD740E" w:rsidP="00DD740E">
      <w:pPr>
        <w:numPr>
          <w:ilvl w:val="0"/>
          <w:numId w:val="1"/>
        </w:numPr>
        <w:pBdr>
          <w:top w:val="nil"/>
          <w:left w:val="nil"/>
          <w:bottom w:val="nil"/>
          <w:right w:val="nil"/>
          <w:between w:val="nil"/>
        </w:pBdr>
        <w:rPr>
          <w:rFonts w:ascii="Century Gothic" w:hAnsi="Century Gothic"/>
          <w:color w:val="000000"/>
        </w:rPr>
      </w:pPr>
      <w:r w:rsidRPr="00057F38">
        <w:rPr>
          <w:rFonts w:ascii="Century Gothic" w:hAnsi="Century Gothic"/>
          <w:color w:val="000000"/>
        </w:rPr>
        <w:t>Specialist tests: The generator will have to pay for any specialist tests that are required, such as inverter testing.</w:t>
      </w:r>
    </w:p>
    <w:p w14:paraId="4312DC9B" w14:textId="2ED6065B" w:rsidR="00DD740E" w:rsidRPr="00057F38" w:rsidRDefault="00DD740E" w:rsidP="00DD740E">
      <w:pPr>
        <w:numPr>
          <w:ilvl w:val="0"/>
          <w:numId w:val="1"/>
        </w:numPr>
        <w:pBdr>
          <w:top w:val="nil"/>
          <w:left w:val="nil"/>
          <w:bottom w:val="nil"/>
          <w:right w:val="nil"/>
          <w:between w:val="nil"/>
        </w:pBdr>
        <w:rPr>
          <w:rFonts w:ascii="Century Gothic" w:hAnsi="Century Gothic"/>
        </w:rPr>
      </w:pPr>
      <w:r w:rsidRPr="00057F38">
        <w:rPr>
          <w:rFonts w:ascii="Century Gothic" w:hAnsi="Century Gothic"/>
          <w:color w:val="000000"/>
        </w:rPr>
        <w:t xml:space="preserve">Any other </w:t>
      </w:r>
      <w:r w:rsidR="00D75A24" w:rsidRPr="00057F38">
        <w:rPr>
          <w:rFonts w:ascii="Century Gothic" w:hAnsi="Century Gothic"/>
          <w:color w:val="000000"/>
        </w:rPr>
        <w:t xml:space="preserve">associated </w:t>
      </w:r>
      <w:r w:rsidRPr="00057F38">
        <w:rPr>
          <w:rFonts w:ascii="Century Gothic" w:hAnsi="Century Gothic"/>
          <w:color w:val="000000"/>
        </w:rPr>
        <w:t>costs: The supply and installation of meters (under the Municipality's metering policy)</w:t>
      </w:r>
    </w:p>
    <w:p w14:paraId="64C69904" w14:textId="77777777" w:rsidR="005777AD" w:rsidRPr="005777AD" w:rsidRDefault="005777AD" w:rsidP="005777AD">
      <w:pPr>
        <w:pBdr>
          <w:top w:val="nil"/>
          <w:left w:val="nil"/>
          <w:bottom w:val="nil"/>
          <w:right w:val="nil"/>
          <w:between w:val="nil"/>
        </w:pBdr>
        <w:rPr>
          <w:rFonts w:ascii="Century Gothic" w:hAnsi="Century Gothic"/>
          <w:color w:val="000000"/>
        </w:rPr>
      </w:pPr>
      <w:r w:rsidRPr="005777AD">
        <w:rPr>
          <w:rFonts w:ascii="Century Gothic" w:hAnsi="Century Gothic"/>
          <w:b/>
          <w:bCs/>
          <w:color w:val="000000"/>
        </w:rPr>
        <w:t>Payments Due by the Off Taker/Customer:</w:t>
      </w:r>
    </w:p>
    <w:p w14:paraId="31E9188E" w14:textId="77777777" w:rsidR="005777AD" w:rsidRPr="005777AD" w:rsidRDefault="005777AD" w:rsidP="005777AD">
      <w:pPr>
        <w:numPr>
          <w:ilvl w:val="0"/>
          <w:numId w:val="1"/>
        </w:numPr>
        <w:pBdr>
          <w:top w:val="nil"/>
          <w:left w:val="nil"/>
          <w:bottom w:val="nil"/>
          <w:right w:val="nil"/>
          <w:between w:val="nil"/>
        </w:pBdr>
        <w:tabs>
          <w:tab w:val="num" w:pos="720"/>
        </w:tabs>
        <w:rPr>
          <w:rFonts w:ascii="Century Gothic" w:hAnsi="Century Gothic"/>
          <w:color w:val="000000"/>
        </w:rPr>
      </w:pPr>
      <w:r w:rsidRPr="005777AD">
        <w:rPr>
          <w:rFonts w:ascii="Century Gothic" w:hAnsi="Century Gothic"/>
          <w:color w:val="000000"/>
        </w:rPr>
        <w:t>Electricity Usage – PPA vs Municipality: This pertains to the cost of the electricity consumed by the customer through the wheeling arrangement. It's crucial to differentiate between the costs agreed upon in the Power Purchase Agreement (PPA) with the generator and the charges set by the municipality for distribution and other services.</w:t>
      </w:r>
    </w:p>
    <w:p w14:paraId="565FBADA" w14:textId="77777777" w:rsidR="005777AD" w:rsidRPr="005777AD" w:rsidRDefault="005777AD" w:rsidP="005777AD">
      <w:pPr>
        <w:numPr>
          <w:ilvl w:val="0"/>
          <w:numId w:val="1"/>
        </w:numPr>
        <w:pBdr>
          <w:top w:val="nil"/>
          <w:left w:val="nil"/>
          <w:bottom w:val="nil"/>
          <w:right w:val="nil"/>
          <w:between w:val="nil"/>
        </w:pBdr>
        <w:tabs>
          <w:tab w:val="num" w:pos="720"/>
        </w:tabs>
        <w:rPr>
          <w:rFonts w:ascii="Century Gothic" w:hAnsi="Century Gothic"/>
          <w:color w:val="000000"/>
        </w:rPr>
      </w:pPr>
      <w:r w:rsidRPr="005777AD">
        <w:rPr>
          <w:rFonts w:ascii="Century Gothic" w:hAnsi="Century Gothic"/>
          <w:color w:val="000000"/>
        </w:rPr>
        <w:t>Admin Charges: These might encompass administrative fees levied by the municipality for managing the billing, administrative processes, and overall operation of the wheeling arrangement.</w:t>
      </w:r>
    </w:p>
    <w:p w14:paraId="31903109" w14:textId="77777777" w:rsidR="005777AD" w:rsidRPr="005777AD" w:rsidRDefault="005777AD" w:rsidP="005777AD">
      <w:pPr>
        <w:numPr>
          <w:ilvl w:val="0"/>
          <w:numId w:val="1"/>
        </w:numPr>
        <w:pBdr>
          <w:top w:val="nil"/>
          <w:left w:val="nil"/>
          <w:bottom w:val="nil"/>
          <w:right w:val="nil"/>
          <w:between w:val="nil"/>
        </w:pBdr>
        <w:tabs>
          <w:tab w:val="num" w:pos="720"/>
        </w:tabs>
        <w:rPr>
          <w:rFonts w:ascii="Century Gothic" w:hAnsi="Century Gothic"/>
          <w:color w:val="000000"/>
        </w:rPr>
      </w:pPr>
      <w:r w:rsidRPr="005777AD">
        <w:rPr>
          <w:rFonts w:ascii="Century Gothic" w:hAnsi="Century Gothic"/>
          <w:color w:val="000000"/>
        </w:rPr>
        <w:t>Access Fees: These charges are imposed by the network operator to grant the customer access to the electrical network. The fees can be calculated based on factors like energy consumption or capacity used, with potential variations based on time of day and location. These charges are usually in line with the municipality's tariff bylaws.</w:t>
      </w:r>
    </w:p>
    <w:p w14:paraId="03B5F912" w14:textId="77777777" w:rsidR="005777AD" w:rsidRPr="005777AD" w:rsidRDefault="005777AD" w:rsidP="005777AD">
      <w:pPr>
        <w:numPr>
          <w:ilvl w:val="0"/>
          <w:numId w:val="1"/>
        </w:numPr>
        <w:pBdr>
          <w:top w:val="nil"/>
          <w:left w:val="nil"/>
          <w:bottom w:val="nil"/>
          <w:right w:val="nil"/>
          <w:between w:val="nil"/>
        </w:pBdr>
        <w:tabs>
          <w:tab w:val="num" w:pos="720"/>
        </w:tabs>
        <w:rPr>
          <w:rFonts w:ascii="Century Gothic" w:hAnsi="Century Gothic"/>
          <w:color w:val="000000"/>
        </w:rPr>
      </w:pPr>
      <w:r w:rsidRPr="005777AD">
        <w:rPr>
          <w:rFonts w:ascii="Century Gothic" w:hAnsi="Century Gothic"/>
          <w:color w:val="000000"/>
        </w:rPr>
        <w:t xml:space="preserve">Transmission Charges: These fees are imposed by the transmission company for transporting energy from the generator's location to the customer's premises. The charges can be influenced by factors like distance </w:t>
      </w:r>
      <w:proofErr w:type="spellStart"/>
      <w:r w:rsidRPr="005777AD">
        <w:rPr>
          <w:rFonts w:ascii="Century Gothic" w:hAnsi="Century Gothic"/>
          <w:color w:val="000000"/>
        </w:rPr>
        <w:t>traveled</w:t>
      </w:r>
      <w:proofErr w:type="spellEnd"/>
      <w:r w:rsidRPr="005777AD">
        <w:rPr>
          <w:rFonts w:ascii="Century Gothic" w:hAnsi="Century Gothic"/>
          <w:color w:val="000000"/>
        </w:rPr>
        <w:t>, energy type, and network demand.</w:t>
      </w:r>
    </w:p>
    <w:p w14:paraId="7720CFFF" w14:textId="77777777" w:rsidR="005777AD" w:rsidRPr="005777AD" w:rsidRDefault="005777AD" w:rsidP="005777AD">
      <w:pPr>
        <w:numPr>
          <w:ilvl w:val="0"/>
          <w:numId w:val="1"/>
        </w:numPr>
        <w:pBdr>
          <w:top w:val="nil"/>
          <w:left w:val="nil"/>
          <w:bottom w:val="nil"/>
          <w:right w:val="nil"/>
          <w:between w:val="nil"/>
        </w:pBdr>
        <w:tabs>
          <w:tab w:val="num" w:pos="720"/>
        </w:tabs>
        <w:rPr>
          <w:rFonts w:ascii="Century Gothic" w:hAnsi="Century Gothic"/>
          <w:color w:val="000000"/>
        </w:rPr>
      </w:pPr>
      <w:r w:rsidRPr="005777AD">
        <w:rPr>
          <w:rFonts w:ascii="Century Gothic" w:hAnsi="Century Gothic"/>
          <w:color w:val="000000"/>
        </w:rPr>
        <w:t>Trading Charges: If the customer collaborates with a trader to manage energy transactions, there may be costs linked to trading activities. These charges could encompass fees for operating the trading platform, transaction processing, and other relevant services.</w:t>
      </w:r>
    </w:p>
    <w:p w14:paraId="40D86D23" w14:textId="77777777" w:rsidR="005777AD" w:rsidRPr="005777AD" w:rsidRDefault="005777AD" w:rsidP="005777AD">
      <w:pPr>
        <w:pBdr>
          <w:top w:val="nil"/>
          <w:left w:val="nil"/>
          <w:bottom w:val="nil"/>
          <w:right w:val="nil"/>
          <w:between w:val="nil"/>
        </w:pBdr>
        <w:rPr>
          <w:rFonts w:ascii="Century Gothic" w:hAnsi="Century Gothic"/>
          <w:color w:val="000000"/>
        </w:rPr>
      </w:pPr>
      <w:r w:rsidRPr="005777AD">
        <w:rPr>
          <w:rFonts w:ascii="Century Gothic" w:hAnsi="Century Gothic"/>
          <w:b/>
          <w:bCs/>
          <w:color w:val="000000"/>
        </w:rPr>
        <w:t>Payments Due by the Potential Trader:</w:t>
      </w:r>
    </w:p>
    <w:p w14:paraId="49DFA929" w14:textId="666FDE33" w:rsidR="005777AD" w:rsidRPr="005777AD" w:rsidRDefault="005777AD" w:rsidP="005777AD">
      <w:pPr>
        <w:numPr>
          <w:ilvl w:val="0"/>
          <w:numId w:val="1"/>
        </w:numPr>
        <w:pBdr>
          <w:top w:val="nil"/>
          <w:left w:val="nil"/>
          <w:bottom w:val="nil"/>
          <w:right w:val="nil"/>
          <w:between w:val="nil"/>
        </w:pBdr>
        <w:tabs>
          <w:tab w:val="num" w:pos="720"/>
        </w:tabs>
        <w:rPr>
          <w:rFonts w:ascii="Century Gothic" w:hAnsi="Century Gothic"/>
          <w:color w:val="000000"/>
        </w:rPr>
      </w:pPr>
      <w:r w:rsidRPr="005777AD">
        <w:rPr>
          <w:rFonts w:ascii="Century Gothic" w:hAnsi="Century Gothic"/>
          <w:color w:val="000000"/>
        </w:rPr>
        <w:t xml:space="preserve">Admin Charges: These are administrative fees, </w:t>
      </w:r>
      <w:r w:rsidR="00062E94">
        <w:rPr>
          <w:rFonts w:ascii="Century Gothic" w:hAnsi="Century Gothic"/>
          <w:color w:val="000000"/>
        </w:rPr>
        <w:t>that could be</w:t>
      </w:r>
      <w:r w:rsidRPr="005777AD">
        <w:rPr>
          <w:rFonts w:ascii="Century Gothic" w:hAnsi="Century Gothic"/>
          <w:color w:val="000000"/>
        </w:rPr>
        <w:t xml:space="preserve"> imposed by the municipality or involved parties, to cover the operational aspects of managing the energy trading activities.</w:t>
      </w:r>
    </w:p>
    <w:p w14:paraId="246974BF" w14:textId="77777777" w:rsidR="005777AD" w:rsidRPr="005777AD" w:rsidRDefault="005777AD" w:rsidP="005777AD">
      <w:pPr>
        <w:numPr>
          <w:ilvl w:val="0"/>
          <w:numId w:val="1"/>
        </w:numPr>
        <w:pBdr>
          <w:top w:val="nil"/>
          <w:left w:val="nil"/>
          <w:bottom w:val="nil"/>
          <w:right w:val="nil"/>
          <w:between w:val="nil"/>
        </w:pBdr>
        <w:tabs>
          <w:tab w:val="num" w:pos="720"/>
        </w:tabs>
        <w:rPr>
          <w:rFonts w:ascii="Century Gothic" w:hAnsi="Century Gothic"/>
          <w:color w:val="000000"/>
        </w:rPr>
      </w:pPr>
      <w:r w:rsidRPr="005777AD">
        <w:rPr>
          <w:rFonts w:ascii="Century Gothic" w:hAnsi="Century Gothic"/>
          <w:color w:val="000000"/>
        </w:rPr>
        <w:t>Trading Charges: If the customer engages a trader to handle energy trading, the trader might levy charges associated with using their trading platform and facilitating energy transactions. These charges can encompass platform management fees, transaction processing fees, and other relevant costs.</w:t>
      </w:r>
    </w:p>
    <w:p w14:paraId="7CB0779C" w14:textId="77777777" w:rsidR="005777AD" w:rsidRPr="005777AD" w:rsidRDefault="005777AD" w:rsidP="005777AD">
      <w:pPr>
        <w:pBdr>
          <w:top w:val="nil"/>
          <w:left w:val="nil"/>
          <w:bottom w:val="nil"/>
          <w:right w:val="nil"/>
          <w:between w:val="nil"/>
        </w:pBdr>
        <w:rPr>
          <w:rFonts w:ascii="Century Gothic" w:hAnsi="Century Gothic"/>
          <w:color w:val="000000"/>
        </w:rPr>
      </w:pPr>
      <w:r w:rsidRPr="005777AD">
        <w:rPr>
          <w:rFonts w:ascii="Century Gothic" w:hAnsi="Century Gothic"/>
          <w:color w:val="000000"/>
        </w:rPr>
        <w:lastRenderedPageBreak/>
        <w:t>In essence, these payment structures and responsibilities help outline the financial aspects of the wheeling arrangement. They ensure that all parties involved understand their obligations and contributions, contributing to the transparent and effective operation of the wheeling process. The specifics of these payments can vary based on agreements, regulations, and the unique context of the arrangement.</w:t>
      </w:r>
    </w:p>
    <w:p w14:paraId="43D5725D" w14:textId="77777777" w:rsidR="005777AD" w:rsidRDefault="005777AD" w:rsidP="00831A39">
      <w:pPr>
        <w:pBdr>
          <w:top w:val="nil"/>
          <w:left w:val="nil"/>
          <w:bottom w:val="nil"/>
          <w:right w:val="nil"/>
          <w:between w:val="nil"/>
        </w:pBdr>
        <w:rPr>
          <w:rFonts w:ascii="Century Gothic" w:hAnsi="Century Gothic"/>
          <w:color w:val="000000"/>
        </w:rPr>
      </w:pPr>
    </w:p>
    <w:p w14:paraId="23416C97" w14:textId="3718E004" w:rsidR="00213F5D" w:rsidRDefault="0092566A" w:rsidP="00C85FFA">
      <w:pPr>
        <w:pStyle w:val="Heading1"/>
      </w:pPr>
      <w:bookmarkStart w:id="46" w:name="_1t3h5sf" w:colFirst="0" w:colLast="0"/>
      <w:bookmarkStart w:id="47" w:name="_4d34og8" w:colFirst="0" w:colLast="0"/>
      <w:bookmarkStart w:id="48" w:name="_1y810tw" w:colFirst="0" w:colLast="0"/>
      <w:bookmarkStart w:id="49" w:name="_1ci93xb" w:colFirst="0" w:colLast="0"/>
      <w:bookmarkStart w:id="50" w:name="_Toc145484203"/>
      <w:bookmarkEnd w:id="46"/>
      <w:bookmarkEnd w:id="47"/>
      <w:bookmarkEnd w:id="48"/>
      <w:bookmarkEnd w:id="49"/>
      <w:r w:rsidRPr="0092566A">
        <w:t xml:space="preserve">Energy </w:t>
      </w:r>
      <w:r w:rsidR="009D02DE">
        <w:t xml:space="preserve">Supply and Demand </w:t>
      </w:r>
      <w:r w:rsidR="00995401">
        <w:t>B</w:t>
      </w:r>
      <w:r w:rsidRPr="0092566A">
        <w:t>alancing</w:t>
      </w:r>
      <w:bookmarkEnd w:id="50"/>
    </w:p>
    <w:p w14:paraId="5B1393B7" w14:textId="77777777" w:rsidR="004F34FF" w:rsidRDefault="004F34FF" w:rsidP="00B42273">
      <w:pPr>
        <w:shd w:val="clear" w:color="auto" w:fill="F2F2F2" w:themeFill="background1" w:themeFillShade="F2"/>
        <w:spacing w:before="120" w:line="240" w:lineRule="auto"/>
        <w:rPr>
          <w:rFonts w:ascii="Century Gothic" w:hAnsi="Century Gothic"/>
          <w:b/>
          <w:bCs/>
          <w:u w:val="single"/>
        </w:rPr>
      </w:pPr>
      <w:r w:rsidRPr="004621EF">
        <w:rPr>
          <w:rFonts w:ascii="Segoe UI Emoji" w:hAnsi="Segoe UI Emoji" w:cs="Segoe UI Emoji"/>
          <w:i/>
          <w:iCs/>
        </w:rPr>
        <w:t>🔍</w:t>
      </w:r>
      <w:r w:rsidRPr="004621EF">
        <w:rPr>
          <w:rFonts w:ascii="Century Gothic" w:hAnsi="Century Gothic"/>
          <w:b/>
          <w:bCs/>
          <w:i/>
          <w:iCs/>
          <w:u w:val="single"/>
        </w:rPr>
        <w:t xml:space="preserve"> </w:t>
      </w:r>
      <w:r w:rsidRPr="00057F38">
        <w:rPr>
          <w:rFonts w:ascii="Century Gothic" w:hAnsi="Century Gothic"/>
          <w:b/>
          <w:bCs/>
          <w:u w:val="single"/>
        </w:rPr>
        <w:t xml:space="preserve">Explanatory notes: </w:t>
      </w:r>
    </w:p>
    <w:p w14:paraId="24C2A287" w14:textId="0A170213" w:rsidR="00B776A9" w:rsidRPr="00D3769D" w:rsidRDefault="004F34FF" w:rsidP="00D3769D">
      <w:pPr>
        <w:shd w:val="clear" w:color="auto" w:fill="F2F2F2" w:themeFill="background1" w:themeFillShade="F2"/>
        <w:rPr>
          <w:rFonts w:ascii="Century Gothic" w:hAnsi="Century Gothic"/>
        </w:rPr>
      </w:pPr>
      <w:r w:rsidRPr="004F34FF">
        <w:rPr>
          <w:rFonts w:ascii="Century Gothic" w:hAnsi="Century Gothic"/>
        </w:rPr>
        <w:t xml:space="preserve">The </w:t>
      </w:r>
      <w:r w:rsidR="00CC6D7D">
        <w:rPr>
          <w:rFonts w:ascii="Century Gothic" w:hAnsi="Century Gothic"/>
        </w:rPr>
        <w:t>Municipality</w:t>
      </w:r>
      <w:r w:rsidRPr="004F34FF">
        <w:rPr>
          <w:rFonts w:ascii="Century Gothic" w:hAnsi="Century Gothic"/>
        </w:rPr>
        <w:t xml:space="preserve">'s role in energy balancing involves implementing and enforcing balancing rules once they are developed by the System/Market Operator and approved by NERSA. This includes ensuring compliance with the rules by generators, loads, and licensees, including those involved in third-party wheeling transactions. The </w:t>
      </w:r>
      <w:r w:rsidR="009A6C62">
        <w:rPr>
          <w:rFonts w:ascii="Century Gothic" w:hAnsi="Century Gothic"/>
        </w:rPr>
        <w:t>Municipality</w:t>
      </w:r>
      <w:r w:rsidRPr="004F34FF">
        <w:rPr>
          <w:rFonts w:ascii="Century Gothic" w:hAnsi="Century Gothic"/>
        </w:rPr>
        <w:t xml:space="preserve"> will oversee the provision of hourly day-ahead forecasts and monitor deviations from these forecasts, which may result in balancing charges. Reconciliations for wheeled energy will be based on schedules rather than meter data</w:t>
      </w:r>
    </w:p>
    <w:p w14:paraId="5D301EAC" w14:textId="7127F3D8" w:rsidR="00B776A9" w:rsidRPr="004621EF" w:rsidRDefault="00B776A9" w:rsidP="00B776A9">
      <w:pPr>
        <w:rPr>
          <w:rFonts w:ascii="Century Gothic" w:hAnsi="Century Gothic"/>
          <w:b/>
          <w:bCs/>
          <w:u w:val="single"/>
        </w:rPr>
      </w:pPr>
      <w:r w:rsidRPr="00FE49F7">
        <w:rPr>
          <w:rFonts w:ascii="Segoe UI Emoji" w:hAnsi="Segoe UI Emoji" w:cs="Segoe UI Emoji"/>
          <w:b/>
          <w:bCs/>
          <w:u w:val="single"/>
        </w:rPr>
        <w:t>💡</w:t>
      </w:r>
      <w:r w:rsidRPr="00FE49F7">
        <w:rPr>
          <w:rFonts w:ascii="Century Gothic" w:hAnsi="Century Gothic"/>
          <w:b/>
          <w:bCs/>
          <w:u w:val="single"/>
        </w:rPr>
        <w:t xml:space="preserve">Illustrative example </w:t>
      </w:r>
    </w:p>
    <w:p w14:paraId="48B10CB9" w14:textId="1271FDD1" w:rsidR="00892DB6" w:rsidRPr="00ED24BD" w:rsidRDefault="00892DB6" w:rsidP="00892DB6">
      <w:pPr>
        <w:rPr>
          <w:rFonts w:ascii="Century Gothic" w:hAnsi="Century Gothic"/>
        </w:rPr>
      </w:pPr>
      <w:r w:rsidRPr="00ED24BD">
        <w:rPr>
          <w:rFonts w:ascii="Century Gothic" w:hAnsi="Century Gothic"/>
        </w:rPr>
        <w:t>Generators and loads, including Licensees</w:t>
      </w:r>
      <w:r w:rsidR="00F36163">
        <w:rPr>
          <w:rFonts w:ascii="Century Gothic" w:hAnsi="Century Gothic"/>
        </w:rPr>
        <w:t>,</w:t>
      </w:r>
      <w:r w:rsidRPr="00ED24BD">
        <w:rPr>
          <w:rFonts w:ascii="Century Gothic" w:hAnsi="Century Gothic"/>
        </w:rPr>
        <w:t xml:space="preserve"> will in future be subject to </w:t>
      </w:r>
      <w:r w:rsidR="000A46EA">
        <w:rPr>
          <w:rFonts w:ascii="Century Gothic" w:hAnsi="Century Gothic"/>
        </w:rPr>
        <w:t>grid supp</w:t>
      </w:r>
      <w:r w:rsidR="00BD14DA">
        <w:rPr>
          <w:rFonts w:ascii="Century Gothic" w:hAnsi="Century Gothic"/>
        </w:rPr>
        <w:t xml:space="preserve">ly </w:t>
      </w:r>
      <w:r w:rsidRPr="00ED24BD">
        <w:rPr>
          <w:rFonts w:ascii="Century Gothic" w:hAnsi="Century Gothic"/>
        </w:rPr>
        <w:t xml:space="preserve">balancing rules once such a mechanism is developed by the System/Market Operator and approved by NERSA. </w:t>
      </w:r>
      <w:r w:rsidR="0025137D">
        <w:rPr>
          <w:rFonts w:ascii="Century Gothic" w:hAnsi="Century Gothic"/>
        </w:rPr>
        <w:t xml:space="preserve"> </w:t>
      </w:r>
      <w:r w:rsidRPr="00ED24BD">
        <w:rPr>
          <w:rFonts w:ascii="Century Gothic" w:hAnsi="Century Gothic"/>
        </w:rPr>
        <w:t>Balancing will take care of the difference between scheduled generation and actual generation.</w:t>
      </w:r>
    </w:p>
    <w:p w14:paraId="7E6BE4E1" w14:textId="121B9EB8" w:rsidR="00892DB6" w:rsidRDefault="00892DB6" w:rsidP="00892DB6">
      <w:pPr>
        <w:rPr>
          <w:rFonts w:ascii="Century Gothic" w:hAnsi="Century Gothic"/>
        </w:rPr>
      </w:pPr>
      <w:r w:rsidRPr="00ED24BD">
        <w:rPr>
          <w:rFonts w:ascii="Century Gothic" w:hAnsi="Century Gothic"/>
        </w:rPr>
        <w:t>It is envisaged that this would require hourly day-ahead forecasts to be provided</w:t>
      </w:r>
      <w:r w:rsidR="00EB2855">
        <w:rPr>
          <w:rFonts w:ascii="Century Gothic" w:hAnsi="Century Gothic"/>
        </w:rPr>
        <w:t>,</w:t>
      </w:r>
      <w:r w:rsidRPr="00ED24BD">
        <w:rPr>
          <w:rFonts w:ascii="Century Gothic" w:hAnsi="Century Gothic"/>
        </w:rPr>
        <w:t xml:space="preserve"> and on which balancing charges may be raised for deviation from the forecast for all balance responsible parties including those in third-party wheeling transaction. Reconciliations for Wheeled Energy will then be done on schedules and not the meter data.</w:t>
      </w:r>
    </w:p>
    <w:p w14:paraId="52F4414D" w14:textId="5827F899" w:rsidR="00AC66A1" w:rsidRDefault="00AC66A1" w:rsidP="00892DB6">
      <w:pPr>
        <w:rPr>
          <w:rFonts w:ascii="Century Gothic" w:hAnsi="Century Gothic"/>
        </w:rPr>
      </w:pPr>
      <w:r w:rsidRPr="00AC66A1">
        <w:rPr>
          <w:rFonts w:ascii="Century Gothic" w:hAnsi="Century Gothic"/>
        </w:rPr>
        <w:t xml:space="preserve">Balancing is a system operator function. Settlements for balancing will in future when balancing is introduced be done hourly, but reconciliation can still be done monthly on the schedules.  The shortfall will be for the account of the balancing party, that is wheeled energy is forecasted, scheduled and assumed delivered and reconciled on the forecast.  If there is a deviation from the forecast, the balance responsible party will cover this cost.  </w:t>
      </w:r>
    </w:p>
    <w:p w14:paraId="64F54DD6" w14:textId="318C8484" w:rsidR="0092566A" w:rsidRPr="00ED24BD" w:rsidRDefault="00BE54FC" w:rsidP="00892DB6">
      <w:r>
        <w:rPr>
          <w:noProof/>
        </w:rPr>
        <w:drawing>
          <wp:anchor distT="0" distB="0" distL="114300" distR="114300" simplePos="0" relativeHeight="251661312" behindDoc="0" locked="0" layoutInCell="1" allowOverlap="1" wp14:anchorId="17F3C562" wp14:editId="21AB5F8C">
            <wp:simplePos x="0" y="0"/>
            <wp:positionH relativeFrom="column">
              <wp:posOffset>2078355</wp:posOffset>
            </wp:positionH>
            <wp:positionV relativeFrom="paragraph">
              <wp:posOffset>666750</wp:posOffset>
            </wp:positionV>
            <wp:extent cx="3916045" cy="2441575"/>
            <wp:effectExtent l="76200" t="76200" r="141605" b="1301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extLst>
                        <a:ext uri="{28A0092B-C50C-407E-A947-70E740481C1C}">
                          <a14:useLocalDpi xmlns:a14="http://schemas.microsoft.com/office/drawing/2010/main" val="0"/>
                        </a:ext>
                      </a:extLst>
                    </a:blip>
                    <a:srcRect l="2263" t="2046" r="2469" b="3360"/>
                    <a:stretch/>
                  </pic:blipFill>
                  <pic:spPr bwMode="auto">
                    <a:xfrm>
                      <a:off x="0" y="0"/>
                      <a:ext cx="3916045" cy="2441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566A" w:rsidRPr="00ED24BD">
        <w:rPr>
          <w:rFonts w:ascii="Century Gothic" w:hAnsi="Century Gothic"/>
        </w:rPr>
        <w:t xml:space="preserve">Energy is accounted for in near-real time over each ½ hourly metering integration period and energy balancing will be done over the same period. In an established market environment, surplus energy would be cheap, while deficit energy would be expensive, with these prices passed onto customers willing to take or forgo this energy to achieve energy balancing. Until the market environment matures, the </w:t>
      </w:r>
      <w:r w:rsidR="00E571F8">
        <w:rPr>
          <w:rFonts w:ascii="Century Gothic" w:hAnsi="Century Gothic"/>
        </w:rPr>
        <w:t>municipality</w:t>
      </w:r>
      <w:r w:rsidR="00E571F8" w:rsidRPr="00ED24BD">
        <w:rPr>
          <w:rFonts w:ascii="Century Gothic" w:hAnsi="Century Gothic"/>
        </w:rPr>
        <w:t xml:space="preserve"> </w:t>
      </w:r>
      <w:r w:rsidR="0092566A" w:rsidRPr="00ED24BD">
        <w:rPr>
          <w:rFonts w:ascii="Century Gothic" w:hAnsi="Century Gothic"/>
        </w:rPr>
        <w:t xml:space="preserve">will supply deficit energy at regulated tariffs, while surplus energy will be taken at zero price unless </w:t>
      </w:r>
      <w:r w:rsidR="0092566A" w:rsidRPr="00ED24BD">
        <w:rPr>
          <w:rFonts w:ascii="Century Gothic" w:hAnsi="Century Gothic"/>
        </w:rPr>
        <w:lastRenderedPageBreak/>
        <w:t xml:space="preserve">the customer has instituted greening. In line with </w:t>
      </w:r>
      <w:r w:rsidR="0092566A" w:rsidRPr="00B41C05">
        <w:rPr>
          <w:rFonts w:ascii="Century Gothic" w:hAnsi="Century Gothic"/>
        </w:rPr>
        <w:t xml:space="preserve">the current regulatory environment, these transactions will be done directly with the customers and </w:t>
      </w:r>
      <w:r w:rsidR="00ED24BD" w:rsidRPr="00B41C05">
        <w:rPr>
          <w:rFonts w:ascii="Century Gothic" w:hAnsi="Century Gothic"/>
        </w:rPr>
        <w:t>potentially energy traders</w:t>
      </w:r>
    </w:p>
    <w:p w14:paraId="745B9B07" w14:textId="6448B9F6" w:rsidR="00294D75" w:rsidRPr="00294D75" w:rsidRDefault="00294D75" w:rsidP="00294D75">
      <w:pPr>
        <w:pStyle w:val="Heading1"/>
      </w:pPr>
      <w:bookmarkStart w:id="51" w:name="_Toc145484204"/>
      <w:r w:rsidRPr="00294D75">
        <w:t>Dispute Resolution Process</w:t>
      </w:r>
      <w:bookmarkEnd w:id="51"/>
    </w:p>
    <w:p w14:paraId="67933347" w14:textId="77777777" w:rsidR="00202721" w:rsidRDefault="00202721" w:rsidP="00202721">
      <w:pPr>
        <w:shd w:val="clear" w:color="auto" w:fill="F2F2F2" w:themeFill="background1" w:themeFillShade="F2"/>
      </w:pPr>
      <w:r w:rsidRPr="00202721">
        <w:rPr>
          <w:rFonts w:ascii="Segoe UI Emoji" w:hAnsi="Segoe UI Emoji" w:cs="Segoe UI Emoji"/>
        </w:rPr>
        <w:t>🔍</w:t>
      </w:r>
      <w:r w:rsidRPr="004621EF">
        <w:rPr>
          <w:rFonts w:ascii="Century Gothic" w:hAnsi="Century Gothic"/>
          <w:b/>
          <w:bCs/>
          <w:i/>
          <w:iCs/>
          <w:u w:val="single"/>
        </w:rPr>
        <w:t xml:space="preserve"> </w:t>
      </w:r>
      <w:r w:rsidRPr="00057F38">
        <w:rPr>
          <w:rFonts w:ascii="Century Gothic" w:hAnsi="Century Gothic"/>
          <w:b/>
          <w:bCs/>
          <w:u w:val="single"/>
        </w:rPr>
        <w:t>Explanatory notes</w:t>
      </w:r>
    </w:p>
    <w:p w14:paraId="2AA4493C" w14:textId="02AC39F2" w:rsidR="00145F5A" w:rsidRPr="00202721" w:rsidRDefault="00237329" w:rsidP="00202721">
      <w:pPr>
        <w:shd w:val="clear" w:color="auto" w:fill="F2F2F2" w:themeFill="background1" w:themeFillShade="F2"/>
        <w:rPr>
          <w:rFonts w:ascii="Century Gothic" w:hAnsi="Century Gothic"/>
          <w:i/>
          <w:iCs/>
        </w:rPr>
      </w:pPr>
      <w:r w:rsidRPr="00202721">
        <w:rPr>
          <w:rFonts w:ascii="Century Gothic" w:hAnsi="Century Gothic"/>
          <w:i/>
          <w:iCs/>
        </w:rPr>
        <w:t xml:space="preserve">The </w:t>
      </w:r>
      <w:r w:rsidR="00CC6D7D">
        <w:rPr>
          <w:rFonts w:ascii="Century Gothic" w:hAnsi="Century Gothic"/>
          <w:i/>
          <w:iCs/>
        </w:rPr>
        <w:t>Municipality</w:t>
      </w:r>
      <w:r w:rsidRPr="00202721">
        <w:rPr>
          <w:rFonts w:ascii="Century Gothic" w:hAnsi="Century Gothic"/>
          <w:i/>
          <w:iCs/>
        </w:rPr>
        <w:t>'s role in the dispute resolution process involves receiving and assessing formal complaints, mediating between parties to find a resolution, making fair decisions if necessary, documenting the process, communicating the resolution to all parties, and ensuring compliance with the agreed-upon terms. Their responsibilities include conducting thorough investigations, facilitating negotiations, maintaining clear communication, and monitoring compliance to resolve disputes in a fair and transparent manner.</w:t>
      </w:r>
      <w:r w:rsidR="00145F5A" w:rsidRPr="00202721">
        <w:rPr>
          <w:rFonts w:ascii="Century Gothic" w:hAnsi="Century Gothic"/>
          <w:i/>
          <w:iCs/>
        </w:rPr>
        <w:t xml:space="preserve"> Detailed guidelines on the process must be developed for resolving disputes between stakeholders, including escalation procedures.</w:t>
      </w:r>
    </w:p>
    <w:p w14:paraId="75425DA1" w14:textId="77777777" w:rsidR="00202721" w:rsidRPr="004621EF" w:rsidRDefault="00202721" w:rsidP="00202721">
      <w:pPr>
        <w:rPr>
          <w:rFonts w:ascii="Century Gothic" w:hAnsi="Century Gothic"/>
          <w:b/>
          <w:bCs/>
          <w:u w:val="single"/>
        </w:rPr>
      </w:pPr>
      <w:r w:rsidRPr="00FE49F7">
        <w:rPr>
          <w:rFonts w:ascii="Segoe UI Emoji" w:hAnsi="Segoe UI Emoji" w:cs="Segoe UI Emoji"/>
          <w:b/>
          <w:bCs/>
          <w:u w:val="single"/>
        </w:rPr>
        <w:t>💡</w:t>
      </w:r>
      <w:r w:rsidRPr="00FE49F7">
        <w:rPr>
          <w:rFonts w:ascii="Century Gothic" w:hAnsi="Century Gothic"/>
          <w:b/>
          <w:bCs/>
          <w:u w:val="single"/>
        </w:rPr>
        <w:t xml:space="preserve">Illustrative example </w:t>
      </w:r>
    </w:p>
    <w:p w14:paraId="29B67642" w14:textId="076FE369" w:rsidR="00474FBA" w:rsidRPr="00474FBA" w:rsidRDefault="00202721" w:rsidP="00474FBA">
      <w:pPr>
        <w:rPr>
          <w:rFonts w:ascii="Century Gothic" w:hAnsi="Century Gothic"/>
        </w:rPr>
      </w:pPr>
      <w:r>
        <w:rPr>
          <w:rFonts w:ascii="Century Gothic" w:hAnsi="Century Gothic"/>
        </w:rPr>
        <w:t>Dispute resolution</w:t>
      </w:r>
      <w:r w:rsidR="00474FBA" w:rsidRPr="00474FBA">
        <w:rPr>
          <w:rFonts w:ascii="Century Gothic" w:hAnsi="Century Gothic"/>
        </w:rPr>
        <w:t xml:space="preserve"> process and the responsibilities of the </w:t>
      </w:r>
      <w:r w:rsidR="00CC6D7D">
        <w:rPr>
          <w:rFonts w:ascii="Century Gothic" w:hAnsi="Century Gothic"/>
        </w:rPr>
        <w:t>Municipality</w:t>
      </w:r>
      <w:r w:rsidR="00474FBA" w:rsidRPr="00474FBA">
        <w:rPr>
          <w:rFonts w:ascii="Century Gothic" w:hAnsi="Century Gothic"/>
        </w:rPr>
        <w:t>:</w:t>
      </w:r>
    </w:p>
    <w:p w14:paraId="57E38E8D" w14:textId="77777777" w:rsidR="00474FBA" w:rsidRPr="00202721" w:rsidRDefault="00474FBA" w:rsidP="00871EE8">
      <w:pPr>
        <w:pStyle w:val="ListParagraph"/>
        <w:numPr>
          <w:ilvl w:val="0"/>
          <w:numId w:val="13"/>
        </w:numPr>
        <w:spacing w:before="120" w:line="240" w:lineRule="auto"/>
        <w:ind w:hanging="357"/>
        <w:contextualSpacing w:val="0"/>
        <w:rPr>
          <w:rFonts w:ascii="Century Gothic" w:hAnsi="Century Gothic"/>
        </w:rPr>
      </w:pPr>
      <w:r w:rsidRPr="00202721">
        <w:rPr>
          <w:rFonts w:ascii="Century Gothic" w:hAnsi="Century Gothic"/>
        </w:rPr>
        <w:t>Initiation of dispute resolution process:</w:t>
      </w:r>
    </w:p>
    <w:p w14:paraId="4FE0A97D" w14:textId="698A2AEE" w:rsidR="00474FBA" w:rsidRPr="00973AE5" w:rsidRDefault="00474FBA" w:rsidP="00871EE8">
      <w:pPr>
        <w:pStyle w:val="ListParagraph"/>
        <w:numPr>
          <w:ilvl w:val="1"/>
          <w:numId w:val="13"/>
        </w:numPr>
        <w:spacing w:before="120" w:line="240" w:lineRule="auto"/>
        <w:ind w:hanging="357"/>
        <w:contextualSpacing w:val="0"/>
        <w:rPr>
          <w:rFonts w:ascii="Century Gothic" w:hAnsi="Century Gothic"/>
        </w:rPr>
      </w:pPr>
      <w:r w:rsidRPr="00202721">
        <w:rPr>
          <w:rFonts w:ascii="Century Gothic" w:hAnsi="Century Gothic"/>
        </w:rPr>
        <w:t xml:space="preserve">When a dispute arises between parties involved in the third-party wheeling </w:t>
      </w:r>
      <w:r w:rsidRPr="00973AE5">
        <w:rPr>
          <w:rFonts w:ascii="Century Gothic" w:hAnsi="Century Gothic"/>
        </w:rPr>
        <w:t>transaction, one of the parties initiates the dispute resolution process by submitting a formal complaint or request for resolution to the Municipality</w:t>
      </w:r>
      <w:r w:rsidR="00B837BE" w:rsidRPr="00973AE5">
        <w:rPr>
          <w:rFonts w:ascii="Century Gothic" w:hAnsi="Century Gothic"/>
        </w:rPr>
        <w:t xml:space="preserve"> to </w:t>
      </w:r>
      <w:hyperlink r:id="rId61" w:history="1">
        <w:r w:rsidR="00313D3E" w:rsidRPr="00973AE5">
          <w:rPr>
            <w:rStyle w:val="Hyperlink"/>
            <w:rFonts w:ascii="Century Gothic" w:hAnsi="Century Gothic"/>
            <w:color w:val="auto"/>
          </w:rPr>
          <w:t>contact@municipality.gov.za</w:t>
        </w:r>
      </w:hyperlink>
    </w:p>
    <w:p w14:paraId="78D2FA52" w14:textId="049E7CF1" w:rsidR="00474FBA" w:rsidRPr="00973AE5" w:rsidRDefault="00474FBA" w:rsidP="00871EE8">
      <w:pPr>
        <w:pStyle w:val="ListParagraph"/>
        <w:numPr>
          <w:ilvl w:val="1"/>
          <w:numId w:val="13"/>
        </w:numPr>
        <w:spacing w:before="120" w:line="240" w:lineRule="auto"/>
        <w:ind w:hanging="357"/>
        <w:contextualSpacing w:val="0"/>
        <w:rPr>
          <w:rFonts w:ascii="Century Gothic" w:hAnsi="Century Gothic"/>
        </w:rPr>
      </w:pPr>
      <w:r w:rsidRPr="00973AE5">
        <w:rPr>
          <w:rFonts w:ascii="Century Gothic" w:hAnsi="Century Gothic"/>
        </w:rPr>
        <w:t xml:space="preserve">The </w:t>
      </w:r>
      <w:r w:rsidR="00B60A08" w:rsidRPr="00973AE5">
        <w:rPr>
          <w:rFonts w:ascii="Century Gothic" w:hAnsi="Century Gothic"/>
        </w:rPr>
        <w:t>Municipality receives</w:t>
      </w:r>
      <w:r w:rsidRPr="00973AE5">
        <w:rPr>
          <w:rFonts w:ascii="Century Gothic" w:hAnsi="Century Gothic"/>
        </w:rPr>
        <w:t xml:space="preserve"> and acknowledges the complaint, ensuring that all necessary information and supporting documents are provided.</w:t>
      </w:r>
    </w:p>
    <w:p w14:paraId="50DA1ACB" w14:textId="77777777" w:rsidR="00474FBA" w:rsidRPr="00973AE5" w:rsidRDefault="00474FBA" w:rsidP="00871EE8">
      <w:pPr>
        <w:pStyle w:val="ListParagraph"/>
        <w:numPr>
          <w:ilvl w:val="0"/>
          <w:numId w:val="13"/>
        </w:numPr>
        <w:spacing w:before="120" w:line="240" w:lineRule="auto"/>
        <w:ind w:hanging="357"/>
        <w:contextualSpacing w:val="0"/>
        <w:rPr>
          <w:rFonts w:ascii="Century Gothic" w:hAnsi="Century Gothic"/>
        </w:rPr>
      </w:pPr>
      <w:r w:rsidRPr="00973AE5">
        <w:rPr>
          <w:rFonts w:ascii="Century Gothic" w:hAnsi="Century Gothic"/>
        </w:rPr>
        <w:t>Investigation and assessment:</w:t>
      </w:r>
    </w:p>
    <w:p w14:paraId="5A42B317" w14:textId="0E95E1D9" w:rsidR="00474FBA" w:rsidRPr="00973AE5" w:rsidRDefault="00474FBA" w:rsidP="00871EE8">
      <w:pPr>
        <w:pStyle w:val="ListParagraph"/>
        <w:numPr>
          <w:ilvl w:val="1"/>
          <w:numId w:val="13"/>
        </w:numPr>
        <w:spacing w:before="120" w:line="240" w:lineRule="auto"/>
        <w:ind w:hanging="357"/>
        <w:contextualSpacing w:val="0"/>
        <w:rPr>
          <w:rFonts w:ascii="Century Gothic" w:hAnsi="Century Gothic"/>
        </w:rPr>
      </w:pPr>
      <w:r w:rsidRPr="00973AE5">
        <w:rPr>
          <w:rFonts w:ascii="Century Gothic" w:hAnsi="Century Gothic"/>
        </w:rPr>
        <w:t xml:space="preserve">The </w:t>
      </w:r>
      <w:r w:rsidR="00B60A08" w:rsidRPr="00973AE5">
        <w:rPr>
          <w:rFonts w:ascii="Century Gothic" w:hAnsi="Century Gothic"/>
        </w:rPr>
        <w:t>Municipality thoroughly</w:t>
      </w:r>
      <w:r w:rsidRPr="00973AE5">
        <w:rPr>
          <w:rFonts w:ascii="Century Gothic" w:hAnsi="Century Gothic"/>
        </w:rPr>
        <w:t xml:space="preserve"> examines the complaint and gathers relevant information from all parties involved.</w:t>
      </w:r>
    </w:p>
    <w:p w14:paraId="4BDD4EEC" w14:textId="77777777" w:rsidR="00474FBA" w:rsidRPr="00973AE5" w:rsidRDefault="00474FBA" w:rsidP="00871EE8">
      <w:pPr>
        <w:pStyle w:val="ListParagraph"/>
        <w:numPr>
          <w:ilvl w:val="1"/>
          <w:numId w:val="13"/>
        </w:numPr>
        <w:spacing w:before="120" w:line="240" w:lineRule="auto"/>
        <w:ind w:hanging="357"/>
        <w:contextualSpacing w:val="0"/>
        <w:rPr>
          <w:rFonts w:ascii="Century Gothic" w:hAnsi="Century Gothic"/>
        </w:rPr>
      </w:pPr>
      <w:r w:rsidRPr="00973AE5">
        <w:rPr>
          <w:rFonts w:ascii="Century Gothic" w:hAnsi="Century Gothic"/>
        </w:rPr>
        <w:t>They assess the nature and scope of the dispute, ensuring compliance with relevant regulations and contractual agreements.</w:t>
      </w:r>
    </w:p>
    <w:p w14:paraId="04299E36" w14:textId="38CCF0A5" w:rsidR="00474FBA" w:rsidRPr="00973AE5" w:rsidRDefault="00474FBA" w:rsidP="00871EE8">
      <w:pPr>
        <w:pStyle w:val="ListParagraph"/>
        <w:numPr>
          <w:ilvl w:val="1"/>
          <w:numId w:val="13"/>
        </w:numPr>
        <w:spacing w:before="120" w:line="240" w:lineRule="auto"/>
        <w:ind w:hanging="357"/>
        <w:contextualSpacing w:val="0"/>
        <w:rPr>
          <w:rFonts w:ascii="Century Gothic" w:hAnsi="Century Gothic"/>
        </w:rPr>
      </w:pPr>
      <w:r w:rsidRPr="00973AE5">
        <w:rPr>
          <w:rFonts w:ascii="Century Gothic" w:hAnsi="Century Gothic"/>
        </w:rPr>
        <w:t xml:space="preserve">The </w:t>
      </w:r>
      <w:r w:rsidR="00B60A08" w:rsidRPr="00973AE5">
        <w:rPr>
          <w:rFonts w:ascii="Century Gothic" w:hAnsi="Century Gothic"/>
        </w:rPr>
        <w:t>Municipality</w:t>
      </w:r>
      <w:r w:rsidRPr="00973AE5">
        <w:rPr>
          <w:rFonts w:ascii="Century Gothic" w:hAnsi="Century Gothic"/>
        </w:rPr>
        <w:t xml:space="preserve"> may engage in discussions with the parties to understand their perspectives and gather additional information if needed.</w:t>
      </w:r>
    </w:p>
    <w:p w14:paraId="4BA7355D" w14:textId="77777777" w:rsidR="00474FBA" w:rsidRPr="00973AE5" w:rsidRDefault="00474FBA" w:rsidP="00871EE8">
      <w:pPr>
        <w:pStyle w:val="ListParagraph"/>
        <w:numPr>
          <w:ilvl w:val="0"/>
          <w:numId w:val="13"/>
        </w:numPr>
        <w:spacing w:before="120" w:line="240" w:lineRule="auto"/>
        <w:ind w:hanging="357"/>
        <w:contextualSpacing w:val="0"/>
        <w:rPr>
          <w:rFonts w:ascii="Century Gothic" w:hAnsi="Century Gothic"/>
        </w:rPr>
      </w:pPr>
      <w:r w:rsidRPr="00973AE5">
        <w:rPr>
          <w:rFonts w:ascii="Century Gothic" w:hAnsi="Century Gothic"/>
        </w:rPr>
        <w:t>Mediation and negotiation:</w:t>
      </w:r>
    </w:p>
    <w:p w14:paraId="68B71004" w14:textId="7BF7D348" w:rsidR="00474FBA" w:rsidRPr="00973AE5" w:rsidRDefault="00474FBA" w:rsidP="00871EE8">
      <w:pPr>
        <w:pStyle w:val="ListParagraph"/>
        <w:numPr>
          <w:ilvl w:val="1"/>
          <w:numId w:val="13"/>
        </w:numPr>
        <w:spacing w:before="120" w:line="240" w:lineRule="auto"/>
        <w:ind w:hanging="357"/>
        <w:contextualSpacing w:val="0"/>
        <w:rPr>
          <w:rFonts w:ascii="Century Gothic" w:hAnsi="Century Gothic"/>
        </w:rPr>
      </w:pPr>
      <w:r w:rsidRPr="00973AE5">
        <w:rPr>
          <w:rFonts w:ascii="Century Gothic" w:hAnsi="Century Gothic"/>
        </w:rPr>
        <w:t xml:space="preserve">The </w:t>
      </w:r>
      <w:r w:rsidR="00B60A08" w:rsidRPr="00973AE5">
        <w:rPr>
          <w:rFonts w:ascii="Century Gothic" w:hAnsi="Century Gothic"/>
        </w:rPr>
        <w:t>Municipality acts</w:t>
      </w:r>
      <w:r w:rsidRPr="00973AE5">
        <w:rPr>
          <w:rFonts w:ascii="Century Gothic" w:hAnsi="Century Gothic"/>
        </w:rPr>
        <w:t xml:space="preserve"> as a mediator between the parties, facilitating negotiations and discussions to reach a mutually acceptable resolution.</w:t>
      </w:r>
    </w:p>
    <w:p w14:paraId="51EE647C" w14:textId="77777777" w:rsidR="00474FBA" w:rsidRPr="00973AE5" w:rsidRDefault="00474FBA" w:rsidP="00871EE8">
      <w:pPr>
        <w:pStyle w:val="ListParagraph"/>
        <w:numPr>
          <w:ilvl w:val="1"/>
          <w:numId w:val="13"/>
        </w:numPr>
        <w:spacing w:before="120" w:line="240" w:lineRule="auto"/>
        <w:ind w:hanging="357"/>
        <w:contextualSpacing w:val="0"/>
        <w:rPr>
          <w:rFonts w:ascii="Century Gothic" w:hAnsi="Century Gothic"/>
        </w:rPr>
      </w:pPr>
      <w:r w:rsidRPr="00973AE5">
        <w:rPr>
          <w:rFonts w:ascii="Century Gothic" w:hAnsi="Century Gothic"/>
        </w:rPr>
        <w:t>They encourage open communication, clarify misunderstandings, and explore potential solutions that satisfy the interests of all parties involved.</w:t>
      </w:r>
    </w:p>
    <w:p w14:paraId="4191CCA0" w14:textId="12482E32" w:rsidR="00474FBA" w:rsidRPr="00973AE5" w:rsidRDefault="00474FBA" w:rsidP="00871EE8">
      <w:pPr>
        <w:pStyle w:val="ListParagraph"/>
        <w:numPr>
          <w:ilvl w:val="1"/>
          <w:numId w:val="13"/>
        </w:numPr>
        <w:spacing w:before="120" w:line="240" w:lineRule="auto"/>
        <w:ind w:hanging="357"/>
        <w:contextualSpacing w:val="0"/>
        <w:rPr>
          <w:rFonts w:ascii="Century Gothic" w:hAnsi="Century Gothic"/>
        </w:rPr>
      </w:pPr>
      <w:r w:rsidRPr="00973AE5">
        <w:rPr>
          <w:rFonts w:ascii="Century Gothic" w:hAnsi="Century Gothic"/>
        </w:rPr>
        <w:t xml:space="preserve">The </w:t>
      </w:r>
      <w:r w:rsidR="00B60A08" w:rsidRPr="00973AE5">
        <w:rPr>
          <w:rFonts w:ascii="Century Gothic" w:hAnsi="Century Gothic"/>
        </w:rPr>
        <w:t>Municipality</w:t>
      </w:r>
      <w:r w:rsidRPr="00973AE5">
        <w:rPr>
          <w:rFonts w:ascii="Century Gothic" w:hAnsi="Century Gothic"/>
        </w:rPr>
        <w:t xml:space="preserve"> may propose alternative dispute resolution methods, such as mediation or arbitration, to help resolve the dispute amicably.</w:t>
      </w:r>
    </w:p>
    <w:p w14:paraId="1581E753" w14:textId="7702F7D9" w:rsidR="00933DB1" w:rsidRPr="00973AE5" w:rsidRDefault="008C18EB" w:rsidP="00871EE8">
      <w:pPr>
        <w:pStyle w:val="ListParagraph"/>
        <w:numPr>
          <w:ilvl w:val="1"/>
          <w:numId w:val="13"/>
        </w:numPr>
        <w:spacing w:before="120" w:line="240" w:lineRule="auto"/>
        <w:ind w:hanging="357"/>
        <w:contextualSpacing w:val="0"/>
        <w:rPr>
          <w:rFonts w:ascii="Century Gothic" w:hAnsi="Century Gothic"/>
        </w:rPr>
      </w:pPr>
      <w:r w:rsidRPr="00973AE5">
        <w:rPr>
          <w:rFonts w:ascii="Century Gothic" w:hAnsi="Century Gothic"/>
        </w:rPr>
        <w:t>Mediation will also a</w:t>
      </w:r>
      <w:r w:rsidR="00933DB1" w:rsidRPr="00973AE5">
        <w:rPr>
          <w:rFonts w:ascii="Century Gothic" w:hAnsi="Century Gothic"/>
        </w:rPr>
        <w:t xml:space="preserve">lign to national </w:t>
      </w:r>
      <w:r w:rsidR="00794DBD" w:rsidRPr="00973AE5">
        <w:rPr>
          <w:rFonts w:ascii="Century Gothic" w:hAnsi="Century Gothic"/>
        </w:rPr>
        <w:t xml:space="preserve">rules for third </w:t>
      </w:r>
      <w:r w:rsidR="00973AE5" w:rsidRPr="00973AE5">
        <w:rPr>
          <w:rFonts w:ascii="Century Gothic" w:hAnsi="Century Gothic"/>
        </w:rPr>
        <w:t>party wheeling.</w:t>
      </w:r>
    </w:p>
    <w:p w14:paraId="1163FF54" w14:textId="77777777" w:rsidR="00474FBA" w:rsidRPr="00973AE5" w:rsidRDefault="00474FBA" w:rsidP="00871EE8">
      <w:pPr>
        <w:pStyle w:val="ListParagraph"/>
        <w:numPr>
          <w:ilvl w:val="0"/>
          <w:numId w:val="13"/>
        </w:numPr>
        <w:spacing w:before="120" w:line="240" w:lineRule="auto"/>
        <w:ind w:hanging="357"/>
        <w:contextualSpacing w:val="0"/>
        <w:rPr>
          <w:rFonts w:ascii="Century Gothic" w:hAnsi="Century Gothic"/>
        </w:rPr>
      </w:pPr>
      <w:r w:rsidRPr="00973AE5">
        <w:rPr>
          <w:rFonts w:ascii="Century Gothic" w:hAnsi="Century Gothic"/>
        </w:rPr>
        <w:t>Decision-making and resolution:</w:t>
      </w:r>
    </w:p>
    <w:p w14:paraId="4446EDE4" w14:textId="2CA38B39" w:rsidR="00474FBA" w:rsidRPr="00202721" w:rsidRDefault="00474FBA" w:rsidP="00871EE8">
      <w:pPr>
        <w:pStyle w:val="ListParagraph"/>
        <w:numPr>
          <w:ilvl w:val="1"/>
          <w:numId w:val="13"/>
        </w:numPr>
        <w:spacing w:before="120" w:line="240" w:lineRule="auto"/>
        <w:ind w:hanging="357"/>
        <w:contextualSpacing w:val="0"/>
        <w:rPr>
          <w:rFonts w:ascii="Century Gothic" w:hAnsi="Century Gothic"/>
        </w:rPr>
      </w:pPr>
      <w:r w:rsidRPr="00973AE5">
        <w:rPr>
          <w:rFonts w:ascii="Century Gothic" w:hAnsi="Century Gothic"/>
        </w:rPr>
        <w:t xml:space="preserve">If the parties are unable to reach a voluntary resolution through mediation, the </w:t>
      </w:r>
      <w:r w:rsidR="00B60A08" w:rsidRPr="00973AE5">
        <w:rPr>
          <w:rFonts w:ascii="Century Gothic" w:hAnsi="Century Gothic"/>
        </w:rPr>
        <w:t>Municipality may</w:t>
      </w:r>
      <w:r w:rsidRPr="00973AE5">
        <w:rPr>
          <w:rFonts w:ascii="Century Gothic" w:hAnsi="Century Gothic"/>
        </w:rPr>
        <w:t xml:space="preserve"> be required to make a decision based on the evidence and information gathered</w:t>
      </w:r>
      <w:r w:rsidRPr="00202721">
        <w:rPr>
          <w:rFonts w:ascii="Century Gothic" w:hAnsi="Century Gothic"/>
        </w:rPr>
        <w:t>.</w:t>
      </w:r>
    </w:p>
    <w:p w14:paraId="70211C64" w14:textId="77777777" w:rsidR="00474FBA" w:rsidRPr="00202721" w:rsidRDefault="00474FBA" w:rsidP="00871EE8">
      <w:pPr>
        <w:pStyle w:val="ListParagraph"/>
        <w:numPr>
          <w:ilvl w:val="1"/>
          <w:numId w:val="13"/>
        </w:numPr>
        <w:spacing w:before="120" w:line="240" w:lineRule="auto"/>
        <w:ind w:hanging="357"/>
        <w:contextualSpacing w:val="0"/>
        <w:rPr>
          <w:rFonts w:ascii="Century Gothic" w:hAnsi="Century Gothic"/>
        </w:rPr>
      </w:pPr>
      <w:r w:rsidRPr="00202721">
        <w:rPr>
          <w:rFonts w:ascii="Century Gothic" w:hAnsi="Century Gothic"/>
        </w:rPr>
        <w:t>They evaluate the arguments, contractual obligations, and relevant regulations to make an impartial and fair decision.</w:t>
      </w:r>
    </w:p>
    <w:p w14:paraId="414B1CFE" w14:textId="77777777" w:rsidR="00474FBA" w:rsidRPr="00202721" w:rsidRDefault="00474FBA" w:rsidP="00871EE8">
      <w:pPr>
        <w:pStyle w:val="ListParagraph"/>
        <w:numPr>
          <w:ilvl w:val="1"/>
          <w:numId w:val="13"/>
        </w:numPr>
        <w:spacing w:before="120" w:line="240" w:lineRule="auto"/>
        <w:ind w:hanging="357"/>
        <w:contextualSpacing w:val="0"/>
        <w:rPr>
          <w:rFonts w:ascii="Century Gothic" w:hAnsi="Century Gothic"/>
        </w:rPr>
      </w:pPr>
      <w:r w:rsidRPr="00202721">
        <w:rPr>
          <w:rFonts w:ascii="Century Gothic" w:hAnsi="Century Gothic"/>
        </w:rPr>
        <w:lastRenderedPageBreak/>
        <w:t>The decision may include directives, recommendations, or actions to be taken by the parties to resolve the dispute.</w:t>
      </w:r>
    </w:p>
    <w:p w14:paraId="79A40F11" w14:textId="77777777" w:rsidR="00474FBA" w:rsidRPr="00202721" w:rsidRDefault="00474FBA" w:rsidP="00871EE8">
      <w:pPr>
        <w:pStyle w:val="ListParagraph"/>
        <w:numPr>
          <w:ilvl w:val="0"/>
          <w:numId w:val="13"/>
        </w:numPr>
        <w:spacing w:before="120" w:line="240" w:lineRule="auto"/>
        <w:ind w:hanging="357"/>
        <w:contextualSpacing w:val="0"/>
        <w:rPr>
          <w:rFonts w:ascii="Century Gothic" w:hAnsi="Century Gothic"/>
        </w:rPr>
      </w:pPr>
      <w:r w:rsidRPr="00202721">
        <w:rPr>
          <w:rFonts w:ascii="Century Gothic" w:hAnsi="Century Gothic"/>
        </w:rPr>
        <w:t>Communication and documentation:</w:t>
      </w:r>
    </w:p>
    <w:p w14:paraId="25E2F45E" w14:textId="28F8D1D0" w:rsidR="00474FBA" w:rsidRPr="00202721" w:rsidRDefault="00474FBA" w:rsidP="00871EE8">
      <w:pPr>
        <w:pStyle w:val="ListParagraph"/>
        <w:numPr>
          <w:ilvl w:val="1"/>
          <w:numId w:val="13"/>
        </w:numPr>
        <w:spacing w:before="120" w:line="240" w:lineRule="auto"/>
        <w:ind w:hanging="357"/>
        <w:contextualSpacing w:val="0"/>
        <w:rPr>
          <w:rFonts w:ascii="Century Gothic" w:hAnsi="Century Gothic"/>
        </w:rPr>
      </w:pPr>
      <w:r w:rsidRPr="00202721">
        <w:rPr>
          <w:rFonts w:ascii="Century Gothic" w:hAnsi="Century Gothic"/>
        </w:rPr>
        <w:t xml:space="preserve">Throughout the dispute resolution process, the </w:t>
      </w:r>
      <w:r w:rsidR="00B60A08">
        <w:rPr>
          <w:rFonts w:ascii="Century Gothic" w:hAnsi="Century Gothic"/>
        </w:rPr>
        <w:t xml:space="preserve">Municipality </w:t>
      </w:r>
      <w:r w:rsidR="00B60A08" w:rsidRPr="00202721">
        <w:rPr>
          <w:rFonts w:ascii="Century Gothic" w:hAnsi="Century Gothic"/>
        </w:rPr>
        <w:t>maintains</w:t>
      </w:r>
      <w:r w:rsidRPr="00202721">
        <w:rPr>
          <w:rFonts w:ascii="Century Gothic" w:hAnsi="Century Gothic"/>
        </w:rPr>
        <w:t xml:space="preserve"> clear and transparent communication with all parties involved.</w:t>
      </w:r>
    </w:p>
    <w:p w14:paraId="0EC570ED" w14:textId="77777777" w:rsidR="00474FBA" w:rsidRPr="00202721" w:rsidRDefault="00474FBA" w:rsidP="00871EE8">
      <w:pPr>
        <w:pStyle w:val="ListParagraph"/>
        <w:numPr>
          <w:ilvl w:val="1"/>
          <w:numId w:val="13"/>
        </w:numPr>
        <w:spacing w:before="120" w:line="240" w:lineRule="auto"/>
        <w:ind w:hanging="357"/>
        <w:contextualSpacing w:val="0"/>
        <w:rPr>
          <w:rFonts w:ascii="Century Gothic" w:hAnsi="Century Gothic"/>
        </w:rPr>
      </w:pPr>
      <w:r w:rsidRPr="00202721">
        <w:rPr>
          <w:rFonts w:ascii="Century Gothic" w:hAnsi="Century Gothic"/>
        </w:rPr>
        <w:t>They document the entire process, including the complaint, investigations, discussions, and final decision, ensuring that all information is accurately recorded and accessible for future reference.</w:t>
      </w:r>
    </w:p>
    <w:p w14:paraId="4789DF1B" w14:textId="77777777" w:rsidR="00474FBA" w:rsidRPr="00202721" w:rsidRDefault="00474FBA" w:rsidP="00871EE8">
      <w:pPr>
        <w:pStyle w:val="ListParagraph"/>
        <w:numPr>
          <w:ilvl w:val="1"/>
          <w:numId w:val="13"/>
        </w:numPr>
        <w:spacing w:before="120" w:line="240" w:lineRule="auto"/>
        <w:ind w:hanging="357"/>
        <w:contextualSpacing w:val="0"/>
        <w:rPr>
          <w:rFonts w:ascii="Century Gothic" w:hAnsi="Century Gothic"/>
        </w:rPr>
      </w:pPr>
      <w:r w:rsidRPr="00202721">
        <w:rPr>
          <w:rFonts w:ascii="Century Gothic" w:hAnsi="Century Gothic"/>
        </w:rPr>
        <w:t>The official communicates the resolution or decision to the parties involved, providing clear instructions on any necessary actions or compliance requirements.</w:t>
      </w:r>
    </w:p>
    <w:p w14:paraId="0F40F2B1" w14:textId="77777777" w:rsidR="00474FBA" w:rsidRPr="00202721" w:rsidRDefault="00474FBA" w:rsidP="00871EE8">
      <w:pPr>
        <w:pStyle w:val="ListParagraph"/>
        <w:numPr>
          <w:ilvl w:val="0"/>
          <w:numId w:val="13"/>
        </w:numPr>
        <w:spacing w:before="120" w:line="240" w:lineRule="auto"/>
        <w:ind w:hanging="357"/>
        <w:contextualSpacing w:val="0"/>
        <w:rPr>
          <w:rFonts w:ascii="Century Gothic" w:hAnsi="Century Gothic"/>
        </w:rPr>
      </w:pPr>
      <w:r w:rsidRPr="00202721">
        <w:rPr>
          <w:rFonts w:ascii="Century Gothic" w:hAnsi="Century Gothic"/>
        </w:rPr>
        <w:t>Follow-up and compliance:</w:t>
      </w:r>
    </w:p>
    <w:p w14:paraId="49AB28A6" w14:textId="6F190DC2" w:rsidR="00474FBA" w:rsidRPr="00202721" w:rsidRDefault="00474FBA" w:rsidP="00871EE8">
      <w:pPr>
        <w:pStyle w:val="ListParagraph"/>
        <w:numPr>
          <w:ilvl w:val="1"/>
          <w:numId w:val="13"/>
        </w:numPr>
        <w:spacing w:before="120" w:line="240" w:lineRule="auto"/>
        <w:ind w:hanging="357"/>
        <w:contextualSpacing w:val="0"/>
        <w:rPr>
          <w:rFonts w:ascii="Century Gothic" w:hAnsi="Century Gothic"/>
        </w:rPr>
      </w:pPr>
      <w:r w:rsidRPr="00202721">
        <w:rPr>
          <w:rFonts w:ascii="Century Gothic" w:hAnsi="Century Gothic"/>
        </w:rPr>
        <w:t xml:space="preserve">The </w:t>
      </w:r>
      <w:r w:rsidR="00B60A08">
        <w:rPr>
          <w:rFonts w:ascii="Century Gothic" w:hAnsi="Century Gothic"/>
        </w:rPr>
        <w:t xml:space="preserve">Municipality </w:t>
      </w:r>
      <w:r w:rsidR="00B60A08" w:rsidRPr="00202721">
        <w:rPr>
          <w:rFonts w:ascii="Century Gothic" w:hAnsi="Century Gothic"/>
        </w:rPr>
        <w:t>monitors</w:t>
      </w:r>
      <w:r w:rsidRPr="00202721">
        <w:rPr>
          <w:rFonts w:ascii="Century Gothic" w:hAnsi="Century Gothic"/>
        </w:rPr>
        <w:t xml:space="preserve"> the implementation of the resolution or decision and ensures that all parties involved comply with the agreed-upon terms.</w:t>
      </w:r>
    </w:p>
    <w:p w14:paraId="4643328F" w14:textId="77777777" w:rsidR="00474FBA" w:rsidRPr="00202721" w:rsidRDefault="00474FBA" w:rsidP="00871EE8">
      <w:pPr>
        <w:pStyle w:val="ListParagraph"/>
        <w:numPr>
          <w:ilvl w:val="1"/>
          <w:numId w:val="13"/>
        </w:numPr>
        <w:spacing w:before="120" w:line="240" w:lineRule="auto"/>
        <w:ind w:hanging="357"/>
        <w:contextualSpacing w:val="0"/>
        <w:rPr>
          <w:rFonts w:ascii="Century Gothic" w:hAnsi="Century Gothic"/>
        </w:rPr>
      </w:pPr>
      <w:r w:rsidRPr="00202721">
        <w:rPr>
          <w:rFonts w:ascii="Century Gothic" w:hAnsi="Century Gothic"/>
        </w:rPr>
        <w:t>They may conduct periodic reviews or inspections to verify compliance and address any non-compliance issues promptly.</w:t>
      </w:r>
    </w:p>
    <w:p w14:paraId="1AF77204" w14:textId="77777777" w:rsidR="00474FBA" w:rsidRPr="00202721" w:rsidRDefault="00474FBA" w:rsidP="00871EE8">
      <w:pPr>
        <w:pStyle w:val="ListParagraph"/>
        <w:numPr>
          <w:ilvl w:val="1"/>
          <w:numId w:val="13"/>
        </w:numPr>
        <w:spacing w:before="120" w:line="240" w:lineRule="auto"/>
        <w:ind w:hanging="357"/>
        <w:contextualSpacing w:val="0"/>
        <w:rPr>
          <w:rFonts w:ascii="Century Gothic" w:hAnsi="Century Gothic"/>
        </w:rPr>
      </w:pPr>
      <w:r w:rsidRPr="00202721">
        <w:rPr>
          <w:rFonts w:ascii="Century Gothic" w:hAnsi="Century Gothic"/>
        </w:rPr>
        <w:t>The official maintains ongoing communication with the parties to address any concerns or questions related to the resolution or decision.</w:t>
      </w:r>
    </w:p>
    <w:p w14:paraId="445DDE0F" w14:textId="2A9D63FF" w:rsidR="00D96466" w:rsidRPr="00202721" w:rsidRDefault="00474FBA" w:rsidP="00871EE8">
      <w:pPr>
        <w:pStyle w:val="ListParagraph"/>
        <w:numPr>
          <w:ilvl w:val="1"/>
          <w:numId w:val="13"/>
        </w:numPr>
        <w:spacing w:before="120" w:line="240" w:lineRule="auto"/>
        <w:ind w:hanging="357"/>
        <w:contextualSpacing w:val="0"/>
        <w:rPr>
          <w:rFonts w:ascii="Century Gothic" w:hAnsi="Century Gothic"/>
        </w:rPr>
      </w:pPr>
      <w:r w:rsidRPr="00202721">
        <w:rPr>
          <w:rFonts w:ascii="Century Gothic" w:hAnsi="Century Gothic"/>
        </w:rPr>
        <w:t xml:space="preserve">It is essential for the </w:t>
      </w:r>
      <w:r w:rsidR="00933DB1">
        <w:rPr>
          <w:rFonts w:ascii="Century Gothic" w:hAnsi="Century Gothic"/>
        </w:rPr>
        <w:t xml:space="preserve">Municipality </w:t>
      </w:r>
      <w:r w:rsidR="00933DB1" w:rsidRPr="00202721">
        <w:rPr>
          <w:rFonts w:ascii="Century Gothic" w:hAnsi="Century Gothic"/>
        </w:rPr>
        <w:t>to</w:t>
      </w:r>
      <w:r w:rsidRPr="00202721">
        <w:rPr>
          <w:rFonts w:ascii="Century Gothic" w:hAnsi="Century Gothic"/>
        </w:rPr>
        <w:t xml:space="preserve"> be impartial, knowledgeable about relevant regulations and contractual agreements, and possess strong communication and negotiation skills to effectively manage the dispute resolution process.</w:t>
      </w:r>
    </w:p>
    <w:p w14:paraId="7F23814F" w14:textId="1A73035B" w:rsidR="00441E22" w:rsidRPr="00E55368" w:rsidRDefault="00CB03C5" w:rsidP="00C85FFA">
      <w:pPr>
        <w:pStyle w:val="Heading1"/>
      </w:pPr>
      <w:bookmarkStart w:id="52" w:name="_Toc145484205"/>
      <w:r>
        <w:t xml:space="preserve">Tools, </w:t>
      </w:r>
      <w:r w:rsidR="00C85FFA" w:rsidRPr="00E55368">
        <w:t>References and Further Information</w:t>
      </w:r>
      <w:bookmarkEnd w:id="52"/>
    </w:p>
    <w:p w14:paraId="6D8BAA12" w14:textId="6BC4DB1E" w:rsidR="006B6CA6" w:rsidRPr="00E55368" w:rsidRDefault="006B6CA6" w:rsidP="006B6CA6">
      <w:pPr>
        <w:rPr>
          <w:rFonts w:ascii="Century Gothic" w:hAnsi="Century Gothic"/>
        </w:rPr>
      </w:pPr>
      <w:r w:rsidRPr="00E55368">
        <w:rPr>
          <w:rFonts w:ascii="Century Gothic" w:hAnsi="Century Gothic"/>
        </w:rPr>
        <w:t xml:space="preserve">The following resources may be useful for prospective </w:t>
      </w:r>
      <w:r w:rsidR="00806442">
        <w:rPr>
          <w:rFonts w:ascii="Century Gothic" w:hAnsi="Century Gothic"/>
        </w:rPr>
        <w:t>parties</w:t>
      </w:r>
      <w:r w:rsidR="00806442" w:rsidRPr="00E55368">
        <w:rPr>
          <w:rFonts w:ascii="Century Gothic" w:hAnsi="Century Gothic"/>
        </w:rPr>
        <w:t xml:space="preserve"> </w:t>
      </w:r>
      <w:r w:rsidR="00F543DF" w:rsidRPr="00E55368">
        <w:rPr>
          <w:rFonts w:ascii="Century Gothic" w:hAnsi="Century Gothic"/>
        </w:rPr>
        <w:t>interested in wheeling electricity</w:t>
      </w:r>
      <w:r w:rsidR="00325E7D" w:rsidRPr="00E55368">
        <w:rPr>
          <w:rFonts w:ascii="Century Gothic" w:hAnsi="Century Gothic"/>
        </w:rPr>
        <w:t>:</w:t>
      </w:r>
    </w:p>
    <w:p w14:paraId="19B5573B" w14:textId="77777777" w:rsidR="009D14D6" w:rsidRDefault="009D14D6" w:rsidP="009D14D6">
      <w:pPr>
        <w:pStyle w:val="ListParagraph"/>
        <w:numPr>
          <w:ilvl w:val="0"/>
          <w:numId w:val="63"/>
        </w:numPr>
        <w:spacing w:beforeLines="120" w:before="288" w:afterLines="120" w:after="288" w:line="240" w:lineRule="auto"/>
        <w:contextualSpacing w:val="0"/>
        <w:rPr>
          <w:rFonts w:ascii="Century Gothic" w:hAnsi="Century Gothic"/>
        </w:rPr>
      </w:pPr>
      <w:r w:rsidRPr="005E3593">
        <w:rPr>
          <w:rFonts w:ascii="Century Gothic" w:hAnsi="Century Gothic"/>
          <w:b/>
          <w:bCs/>
        </w:rPr>
        <w:t xml:space="preserve">Wheeling video: </w:t>
      </w:r>
      <w:r w:rsidRPr="005E3593">
        <w:rPr>
          <w:rFonts w:ascii="Century Gothic" w:hAnsi="Century Gothic"/>
        </w:rPr>
        <w:t>This video gives a simple overview of what electricity wheeling is, the</w:t>
      </w:r>
      <w:r>
        <w:rPr>
          <w:rFonts w:ascii="Century Gothic" w:hAnsi="Century Gothic"/>
        </w:rPr>
        <w:t xml:space="preserve"> </w:t>
      </w:r>
      <w:r w:rsidRPr="00957D0A">
        <w:rPr>
          <w:rFonts w:ascii="Century Gothic" w:hAnsi="Century Gothic"/>
        </w:rPr>
        <w:t>benefits of wheeling, and how municipalities can facilitate wheeling to their customers</w:t>
      </w:r>
      <w:r>
        <w:rPr>
          <w:rFonts w:ascii="Century Gothic" w:hAnsi="Century Gothic"/>
        </w:rPr>
        <w:t>.</w:t>
      </w:r>
      <w:r w:rsidRPr="002E6360">
        <w:rPr>
          <w:rFonts w:ascii="Century Gothic" w:hAnsi="Century Gothic"/>
        </w:rPr>
        <w:t xml:space="preserve"> </w:t>
      </w:r>
    </w:p>
    <w:p w14:paraId="5CE02EF9" w14:textId="77777777" w:rsidR="009D14D6" w:rsidRDefault="009D14D6" w:rsidP="009D14D6">
      <w:pPr>
        <w:pStyle w:val="ListParagraph"/>
        <w:spacing w:beforeLines="120" w:before="288" w:afterLines="120" w:after="288" w:line="240" w:lineRule="auto"/>
        <w:contextualSpacing w:val="0"/>
        <w:rPr>
          <w:rStyle w:val="Hyperlink"/>
          <w:rFonts w:ascii="Century Gothic" w:hAnsi="Century Gothic"/>
        </w:rPr>
      </w:pPr>
      <w:r w:rsidRPr="00957D0A">
        <w:rPr>
          <w:rFonts w:ascii="Century Gothic" w:hAnsi="Century Gothic"/>
        </w:rPr>
        <w:t xml:space="preserve">Link: </w:t>
      </w:r>
      <w:r>
        <w:rPr>
          <w:rFonts w:ascii="Century Gothic" w:hAnsi="Century Gothic"/>
        </w:rPr>
        <w:t xml:space="preserve"> </w:t>
      </w:r>
      <w:hyperlink r:id="rId62" w:history="1">
        <w:r w:rsidRPr="00957D0A">
          <w:rPr>
            <w:rStyle w:val="Hyperlink"/>
            <w:rFonts w:ascii="Century Gothic" w:hAnsi="Century Gothic"/>
          </w:rPr>
          <w:t>(27) Electricity Wheeling in South African Municipalities - YouTube</w:t>
        </w:r>
      </w:hyperlink>
    </w:p>
    <w:p w14:paraId="384EF5A7" w14:textId="77777777" w:rsidR="009D14D6" w:rsidRDefault="009D14D6" w:rsidP="009D14D6">
      <w:pPr>
        <w:pStyle w:val="ListParagraph"/>
        <w:numPr>
          <w:ilvl w:val="0"/>
          <w:numId w:val="63"/>
        </w:numPr>
        <w:spacing w:beforeLines="120" w:before="288" w:afterLines="120" w:after="288" w:line="240" w:lineRule="auto"/>
        <w:contextualSpacing w:val="0"/>
        <w:rPr>
          <w:rFonts w:ascii="Century Gothic" w:hAnsi="Century Gothic"/>
        </w:rPr>
      </w:pPr>
      <w:r w:rsidRPr="00330C5A">
        <w:rPr>
          <w:rFonts w:ascii="Century Gothic" w:hAnsi="Century Gothic"/>
          <w:b/>
          <w:bCs/>
        </w:rPr>
        <w:t>Wheeling Revenue Impact Model:</w:t>
      </w:r>
      <w:r>
        <w:rPr>
          <w:rFonts w:ascii="Century Gothic" w:hAnsi="Century Gothic"/>
        </w:rPr>
        <w:t xml:space="preserve"> T</w:t>
      </w:r>
      <w:r w:rsidRPr="00C458EC">
        <w:rPr>
          <w:rFonts w:ascii="Century Gothic" w:hAnsi="Century Gothic"/>
        </w:rPr>
        <w:t xml:space="preserve">he Western Cape Government in partnership with Sustainable Energy Africa have developed a spreadsheet model that calculates the impact of wheeling on municipal revenue. The model is available at </w:t>
      </w:r>
    </w:p>
    <w:p w14:paraId="4832CF4D" w14:textId="77777777" w:rsidR="009D14D6" w:rsidRPr="002E6360" w:rsidRDefault="009D14D6" w:rsidP="009D14D6">
      <w:pPr>
        <w:pStyle w:val="ListParagraph"/>
        <w:spacing w:beforeLines="120" w:before="288" w:afterLines="120" w:after="288" w:line="240" w:lineRule="auto"/>
        <w:contextualSpacing w:val="0"/>
        <w:rPr>
          <w:rFonts w:ascii="Century Gothic" w:hAnsi="Century Gothic"/>
        </w:rPr>
      </w:pPr>
      <w:r w:rsidRPr="00957D0A">
        <w:rPr>
          <w:rFonts w:ascii="Century Gothic" w:hAnsi="Century Gothic"/>
        </w:rPr>
        <w:t xml:space="preserve">Link: </w:t>
      </w:r>
      <w:hyperlink r:id="rId63" w:history="1">
        <w:r w:rsidRPr="00C458EC">
          <w:rPr>
            <w:rStyle w:val="Hyperlink"/>
            <w:rFonts w:ascii="Century Gothic" w:hAnsi="Century Gothic"/>
          </w:rPr>
          <w:t>Wheeling Revenue Impact Excel Model - Embedded Generation Resource Portal (sseg.org.za)</w:t>
        </w:r>
      </w:hyperlink>
    </w:p>
    <w:p w14:paraId="0043E7CD" w14:textId="77777777" w:rsidR="009D14D6" w:rsidRDefault="009D14D6" w:rsidP="009D14D6">
      <w:pPr>
        <w:pStyle w:val="ListParagraph"/>
        <w:numPr>
          <w:ilvl w:val="0"/>
          <w:numId w:val="63"/>
        </w:numPr>
        <w:spacing w:beforeLines="120" w:before="288" w:afterLines="120" w:after="288" w:line="240" w:lineRule="auto"/>
        <w:contextualSpacing w:val="0"/>
        <w:rPr>
          <w:rFonts w:ascii="Century Gothic" w:hAnsi="Century Gothic"/>
        </w:rPr>
      </w:pPr>
      <w:r w:rsidRPr="00330C5A">
        <w:rPr>
          <w:rFonts w:ascii="Century Gothic" w:hAnsi="Century Gothic"/>
          <w:b/>
          <w:bCs/>
        </w:rPr>
        <w:t>Template - Municipal Wheeling Guideline</w:t>
      </w:r>
      <w:r w:rsidRPr="00C458EC">
        <w:rPr>
          <w:rFonts w:ascii="Century Gothic" w:hAnsi="Century Gothic"/>
        </w:rPr>
        <w:t>: A more summarized template guideline has been developed and is freely available.</w:t>
      </w:r>
      <w:r w:rsidRPr="002E6360">
        <w:rPr>
          <w:rFonts w:ascii="Century Gothic" w:hAnsi="Century Gothic"/>
        </w:rPr>
        <w:t xml:space="preserve"> </w:t>
      </w:r>
    </w:p>
    <w:p w14:paraId="0C2310FA" w14:textId="7BF6D921" w:rsidR="009D14D6" w:rsidRPr="009D14D6" w:rsidRDefault="009D14D6" w:rsidP="009D14D6">
      <w:pPr>
        <w:pStyle w:val="ListParagraph"/>
        <w:spacing w:beforeLines="120" w:before="288" w:afterLines="120" w:after="288" w:line="240" w:lineRule="auto"/>
        <w:contextualSpacing w:val="0"/>
        <w:rPr>
          <w:rFonts w:ascii="Century Gothic" w:hAnsi="Century Gothic"/>
        </w:rPr>
      </w:pPr>
      <w:r w:rsidRPr="00957D0A">
        <w:rPr>
          <w:rFonts w:ascii="Century Gothic" w:hAnsi="Century Gothic"/>
        </w:rPr>
        <w:t xml:space="preserve">Link: </w:t>
      </w:r>
      <w:r w:rsidRPr="00C458EC">
        <w:rPr>
          <w:rFonts w:ascii="Century Gothic" w:hAnsi="Century Gothic"/>
        </w:rPr>
        <w:t xml:space="preserve"> </w:t>
      </w:r>
      <w:hyperlink r:id="rId64" w:history="1">
        <w:r w:rsidRPr="00C458EC">
          <w:rPr>
            <w:rStyle w:val="Hyperlink"/>
            <w:rFonts w:ascii="Century Gothic" w:hAnsi="Century Gothic"/>
          </w:rPr>
          <w:t>Template Municipal Wheeling Guideline - Embedded Generation Resource Portal (sseg.org.za)</w:t>
        </w:r>
      </w:hyperlink>
    </w:p>
    <w:p w14:paraId="75EE6B15" w14:textId="635FB36F" w:rsidR="002E6360" w:rsidRPr="002E6360" w:rsidRDefault="00A4713C" w:rsidP="00845741">
      <w:pPr>
        <w:pStyle w:val="ListParagraph"/>
        <w:numPr>
          <w:ilvl w:val="0"/>
          <w:numId w:val="63"/>
        </w:numPr>
        <w:spacing w:beforeLines="120" w:before="288" w:afterLines="120" w:after="288" w:line="240" w:lineRule="auto"/>
        <w:contextualSpacing w:val="0"/>
        <w:rPr>
          <w:rFonts w:ascii="Century Gothic" w:hAnsi="Century Gothic"/>
          <w:b/>
          <w:bCs/>
        </w:rPr>
      </w:pPr>
      <w:r w:rsidRPr="00151062">
        <w:rPr>
          <w:rFonts w:ascii="Century Gothic" w:hAnsi="Century Gothic"/>
          <w:b/>
          <w:bCs/>
        </w:rPr>
        <w:t>W</w:t>
      </w:r>
      <w:r w:rsidR="00922841" w:rsidRPr="00151062">
        <w:rPr>
          <w:rFonts w:ascii="Century Gothic" w:hAnsi="Century Gothic"/>
          <w:b/>
          <w:bCs/>
        </w:rPr>
        <w:t>heeling agreements</w:t>
      </w:r>
      <w:r w:rsidR="004C0EA6">
        <w:rPr>
          <w:rFonts w:ascii="Century Gothic" w:hAnsi="Century Gothic"/>
          <w:b/>
          <w:bCs/>
        </w:rPr>
        <w:t>:</w:t>
      </w:r>
      <w:r w:rsidR="00957D0A">
        <w:rPr>
          <w:rFonts w:ascii="Century Gothic" w:hAnsi="Century Gothic"/>
        </w:rPr>
        <w:t xml:space="preserve"> </w:t>
      </w:r>
      <w:r w:rsidR="005E3593" w:rsidRPr="005E3593">
        <w:rPr>
          <w:rFonts w:ascii="Century Gothic" w:hAnsi="Century Gothic"/>
        </w:rPr>
        <w:t>The Western</w:t>
      </w:r>
      <w:r w:rsidR="004A578D" w:rsidRPr="005E3593">
        <w:rPr>
          <w:rFonts w:ascii="Century Gothic" w:hAnsi="Century Gothic"/>
        </w:rPr>
        <w:t xml:space="preserve"> Cape Government in partnership with </w:t>
      </w:r>
      <w:proofErr w:type="spellStart"/>
      <w:r w:rsidR="004A578D" w:rsidRPr="005E3593">
        <w:rPr>
          <w:rFonts w:ascii="Century Gothic" w:hAnsi="Century Gothic"/>
        </w:rPr>
        <w:t>Pegasys</w:t>
      </w:r>
      <w:proofErr w:type="spellEnd"/>
      <w:r w:rsidR="004A578D" w:rsidRPr="005E3593">
        <w:rPr>
          <w:rFonts w:ascii="Century Gothic" w:hAnsi="Century Gothic"/>
        </w:rPr>
        <w:t xml:space="preserve"> has developed a set of template wheeling agreements (along with a user guide) which municipalities can customize according to their needs. The templates include a UOSs agreement, a connection agreement, and an amended electricity supply agreement. When released, they wil</w:t>
      </w:r>
      <w:r w:rsidR="002E6360">
        <w:rPr>
          <w:rFonts w:ascii="Century Gothic" w:hAnsi="Century Gothic"/>
        </w:rPr>
        <w:t xml:space="preserve">l found at this </w:t>
      </w:r>
    </w:p>
    <w:p w14:paraId="6DAAD1C3" w14:textId="45916577" w:rsidR="005E3593" w:rsidRPr="005E3593" w:rsidRDefault="002E6360" w:rsidP="00845741">
      <w:pPr>
        <w:pStyle w:val="ListParagraph"/>
        <w:spacing w:beforeLines="120" w:before="288" w:afterLines="120" w:after="288" w:line="240" w:lineRule="auto"/>
        <w:contextualSpacing w:val="0"/>
        <w:rPr>
          <w:rFonts w:ascii="Century Gothic" w:hAnsi="Century Gothic"/>
          <w:b/>
          <w:bCs/>
        </w:rPr>
      </w:pPr>
      <w:r w:rsidRPr="00957D0A">
        <w:rPr>
          <w:rFonts w:ascii="Century Gothic" w:hAnsi="Century Gothic"/>
        </w:rPr>
        <w:t xml:space="preserve">Link: </w:t>
      </w:r>
      <w:r w:rsidR="004A578D" w:rsidRPr="005E3593">
        <w:rPr>
          <w:rFonts w:ascii="Century Gothic" w:hAnsi="Century Gothic"/>
        </w:rPr>
        <w:t xml:space="preserve"> </w:t>
      </w:r>
      <w:hyperlink r:id="rId65" w:history="1">
        <w:r w:rsidR="004A578D" w:rsidRPr="005E3593">
          <w:rPr>
            <w:rStyle w:val="Hyperlink"/>
            <w:rFonts w:ascii="Century Gothic" w:hAnsi="Century Gothic"/>
          </w:rPr>
          <w:t>Wheeling | 110% Green (westerncape.gov.za)</w:t>
        </w:r>
      </w:hyperlink>
    </w:p>
    <w:p w14:paraId="6A40A33D" w14:textId="77777777" w:rsidR="009D14D6" w:rsidRDefault="009D14D6" w:rsidP="009D14D6">
      <w:pPr>
        <w:pStyle w:val="ListParagraph"/>
        <w:numPr>
          <w:ilvl w:val="0"/>
          <w:numId w:val="63"/>
        </w:numPr>
        <w:spacing w:beforeLines="120" w:before="288" w:afterLines="120" w:after="288" w:line="240" w:lineRule="auto"/>
        <w:contextualSpacing w:val="0"/>
        <w:rPr>
          <w:rFonts w:ascii="Century Gothic" w:hAnsi="Century Gothic"/>
        </w:rPr>
      </w:pPr>
      <w:r w:rsidRPr="009D14D6">
        <w:rPr>
          <w:rFonts w:ascii="Century Gothic" w:hAnsi="Century Gothic"/>
          <w:b/>
          <w:bCs/>
        </w:rPr>
        <w:lastRenderedPageBreak/>
        <w:t>This Wheeling in South African Municipalities Report</w:t>
      </w:r>
      <w:r>
        <w:rPr>
          <w:rFonts w:ascii="Century Gothic" w:hAnsi="Century Gothic"/>
          <w:b/>
          <w:bCs/>
        </w:rPr>
        <w:t>:</w:t>
      </w:r>
      <w:r w:rsidRPr="00906710">
        <w:rPr>
          <w:rFonts w:ascii="Century Gothic" w:hAnsi="Century Gothic"/>
        </w:rPr>
        <w:t xml:space="preserve"> forms part of the Municipal Embedded </w:t>
      </w:r>
      <w:r>
        <w:rPr>
          <w:rFonts w:ascii="Century Gothic" w:hAnsi="Century Gothic"/>
        </w:rPr>
        <w:t>Generation</w:t>
      </w:r>
      <w:r w:rsidRPr="00957D0A">
        <w:rPr>
          <w:rFonts w:ascii="Century Gothic" w:hAnsi="Century Gothic"/>
        </w:rPr>
        <w:t xml:space="preserve"> Support Program and is a collaborative effort by the South African Local Government Association (SALGA), Sustainable Energy Africa (SEA), the Western Cape Government, GIZ, </w:t>
      </w:r>
      <w:proofErr w:type="spellStart"/>
      <w:r w:rsidRPr="00957D0A">
        <w:rPr>
          <w:rFonts w:ascii="Century Gothic" w:hAnsi="Century Gothic"/>
        </w:rPr>
        <w:t>GreenCape</w:t>
      </w:r>
      <w:proofErr w:type="spellEnd"/>
      <w:r w:rsidRPr="00957D0A">
        <w:rPr>
          <w:rFonts w:ascii="Century Gothic" w:hAnsi="Century Gothic"/>
        </w:rPr>
        <w:t xml:space="preserve">, Eskom and the AMEU. </w:t>
      </w:r>
    </w:p>
    <w:p w14:paraId="38DF5159" w14:textId="423BD6AF" w:rsidR="009D14D6" w:rsidRPr="009D14D6" w:rsidRDefault="009D14D6" w:rsidP="009D14D6">
      <w:pPr>
        <w:pStyle w:val="ListParagraph"/>
        <w:spacing w:beforeLines="120" w:before="288" w:afterLines="120" w:after="288" w:line="240" w:lineRule="auto"/>
        <w:contextualSpacing w:val="0"/>
        <w:rPr>
          <w:rFonts w:ascii="Century Gothic" w:hAnsi="Century Gothic"/>
          <w:color w:val="0000FF" w:themeColor="hyperlink"/>
          <w:u w:val="single"/>
        </w:rPr>
      </w:pPr>
      <w:r w:rsidRPr="00957D0A">
        <w:rPr>
          <w:rFonts w:ascii="Century Gothic" w:hAnsi="Century Gothic"/>
        </w:rPr>
        <w:t xml:space="preserve">Link: </w:t>
      </w:r>
      <w:hyperlink r:id="rId66" w:history="1">
        <w:r w:rsidRPr="00957D0A">
          <w:rPr>
            <w:rStyle w:val="Hyperlink"/>
            <w:rFonts w:ascii="Century Gothic" w:hAnsi="Century Gothic"/>
          </w:rPr>
          <w:t>SALGA Status of Wheeling Report 2023 - Embedded Generation Resource Portal (sseg.org.za)</w:t>
        </w:r>
      </w:hyperlink>
    </w:p>
    <w:p w14:paraId="0E8CBF22" w14:textId="77777777" w:rsidR="005C6BE3" w:rsidRDefault="000D3310" w:rsidP="00845741">
      <w:pPr>
        <w:pStyle w:val="ListParagraph"/>
        <w:numPr>
          <w:ilvl w:val="0"/>
          <w:numId w:val="63"/>
        </w:numPr>
        <w:spacing w:beforeLines="120" w:before="288" w:afterLines="120" w:after="288" w:line="240" w:lineRule="auto"/>
        <w:contextualSpacing w:val="0"/>
        <w:rPr>
          <w:rFonts w:ascii="Century Gothic" w:hAnsi="Century Gothic"/>
        </w:rPr>
      </w:pPr>
      <w:r w:rsidRPr="00330C5A">
        <w:rPr>
          <w:rFonts w:ascii="Century Gothic" w:hAnsi="Century Gothic"/>
          <w:b/>
          <w:bCs/>
        </w:rPr>
        <w:t>Eskom Wheeling Model:</w:t>
      </w:r>
      <w:r w:rsidRPr="000D3310">
        <w:rPr>
          <w:rFonts w:ascii="Century Gothic" w:hAnsi="Century Gothic"/>
        </w:rPr>
        <w:t xml:space="preserve"> Eskom has developed a model to assist generators and</w:t>
      </w:r>
      <w:r w:rsidR="00957D0A">
        <w:rPr>
          <w:rFonts w:ascii="Century Gothic" w:hAnsi="Century Gothic"/>
        </w:rPr>
        <w:t xml:space="preserve"> </w:t>
      </w:r>
      <w:r w:rsidRPr="00957D0A">
        <w:rPr>
          <w:rFonts w:ascii="Century Gothic" w:hAnsi="Century Gothic"/>
        </w:rPr>
        <w:t>offtakes to understand the charges payable under a wheeling transaction as well as</w:t>
      </w:r>
      <w:r w:rsidR="00957D0A">
        <w:rPr>
          <w:rFonts w:ascii="Century Gothic" w:hAnsi="Century Gothic"/>
        </w:rPr>
        <w:t xml:space="preserve"> </w:t>
      </w:r>
      <w:r w:rsidRPr="00957D0A">
        <w:rPr>
          <w:rFonts w:ascii="Century Gothic" w:hAnsi="Century Gothic"/>
        </w:rPr>
        <w:t xml:space="preserve">assist to analyse the benefits that the </w:t>
      </w:r>
      <w:proofErr w:type="spellStart"/>
      <w:r w:rsidRPr="00957D0A">
        <w:rPr>
          <w:rFonts w:ascii="Century Gothic" w:hAnsi="Century Gothic"/>
        </w:rPr>
        <w:t>offtaker</w:t>
      </w:r>
      <w:proofErr w:type="spellEnd"/>
      <w:r w:rsidRPr="00957D0A">
        <w:rPr>
          <w:rFonts w:ascii="Century Gothic" w:hAnsi="Century Gothic"/>
        </w:rPr>
        <w:t xml:space="preserve"> will receive.</w:t>
      </w:r>
    </w:p>
    <w:p w14:paraId="408CA35C" w14:textId="7BFC065B" w:rsidR="00151062" w:rsidRPr="002E6360" w:rsidRDefault="000D3310" w:rsidP="00845741">
      <w:pPr>
        <w:pStyle w:val="ListParagraph"/>
        <w:spacing w:beforeLines="120" w:before="288" w:afterLines="120" w:after="288" w:line="240" w:lineRule="auto"/>
        <w:contextualSpacing w:val="0"/>
        <w:rPr>
          <w:rFonts w:ascii="Century Gothic" w:hAnsi="Century Gothic"/>
        </w:rPr>
      </w:pPr>
      <w:r w:rsidRPr="00957D0A">
        <w:rPr>
          <w:rFonts w:ascii="Century Gothic" w:hAnsi="Century Gothic"/>
        </w:rPr>
        <w:t xml:space="preserve"> </w:t>
      </w:r>
      <w:r w:rsidR="002E6360" w:rsidRPr="00957D0A">
        <w:rPr>
          <w:rFonts w:ascii="Century Gothic" w:hAnsi="Century Gothic"/>
        </w:rPr>
        <w:t xml:space="preserve">Link: </w:t>
      </w:r>
      <w:hyperlink r:id="rId67" w:anchor="Wheeling-tariff" w:history="1">
        <w:r w:rsidR="00D27E5F" w:rsidRPr="00957D0A">
          <w:rPr>
            <w:rStyle w:val="Hyperlink"/>
            <w:rFonts w:ascii="Century Gothic" w:hAnsi="Century Gothic"/>
          </w:rPr>
          <w:t>Wheeling - Distribution (eskom.co.za)</w:t>
        </w:r>
      </w:hyperlink>
    </w:p>
    <w:p w14:paraId="630FB0A7" w14:textId="77777777" w:rsidR="00330C5A" w:rsidRDefault="00146A6C" w:rsidP="00845741">
      <w:pPr>
        <w:pStyle w:val="ListParagraph"/>
        <w:numPr>
          <w:ilvl w:val="0"/>
          <w:numId w:val="63"/>
        </w:numPr>
        <w:spacing w:beforeLines="120" w:before="288" w:afterLines="120" w:after="288" w:line="240" w:lineRule="auto"/>
        <w:contextualSpacing w:val="0"/>
        <w:rPr>
          <w:rFonts w:ascii="Century Gothic" w:hAnsi="Century Gothic"/>
        </w:rPr>
      </w:pPr>
      <w:r w:rsidRPr="00AD3197">
        <w:rPr>
          <w:rFonts w:ascii="Century Gothic" w:hAnsi="Century Gothic"/>
          <w:b/>
        </w:rPr>
        <w:t>Eskom virtual wheeling</w:t>
      </w:r>
      <w:r w:rsidRPr="00FE15F0">
        <w:rPr>
          <w:rFonts w:ascii="Century Gothic" w:hAnsi="Century Gothic"/>
          <w:bCs/>
        </w:rPr>
        <w:t>: This</w:t>
      </w:r>
      <w:r w:rsidRPr="005C6FE0">
        <w:rPr>
          <w:rFonts w:ascii="Century Gothic" w:hAnsi="Century Gothic"/>
        </w:rPr>
        <w:t xml:space="preserve"> refers to the accounting and financial arrangement where energy from a generator connected to the Eskom transmission network is virtually allocated and credited to an end-user without physical energy transfer.</w:t>
      </w:r>
      <w:r>
        <w:rPr>
          <w:rFonts w:ascii="Century Gothic" w:hAnsi="Century Gothic"/>
        </w:rPr>
        <w:t xml:space="preserve"> R</w:t>
      </w:r>
      <w:r w:rsidRPr="0097271B">
        <w:rPr>
          <w:rFonts w:ascii="Century Gothic" w:hAnsi="Century Gothic"/>
        </w:rPr>
        <w:t xml:space="preserve">efer to the Eskom Virtual wheeling guide </w:t>
      </w:r>
    </w:p>
    <w:p w14:paraId="204B686A" w14:textId="44C5D123" w:rsidR="00146A6C" w:rsidRDefault="00330C5A" w:rsidP="00845741">
      <w:pPr>
        <w:pStyle w:val="ListParagraph"/>
        <w:spacing w:beforeLines="120" w:before="288" w:afterLines="120" w:after="288" w:line="240" w:lineRule="auto"/>
        <w:contextualSpacing w:val="0"/>
        <w:rPr>
          <w:rFonts w:ascii="Century Gothic" w:hAnsi="Century Gothic"/>
        </w:rPr>
      </w:pPr>
      <w:r w:rsidRPr="00957D0A">
        <w:rPr>
          <w:rFonts w:ascii="Century Gothic" w:hAnsi="Century Gothic"/>
        </w:rPr>
        <w:t xml:space="preserve">Link: </w:t>
      </w:r>
      <w:hyperlink r:id="rId68" w:history="1">
        <w:r w:rsidRPr="004D4C83">
          <w:rPr>
            <w:rStyle w:val="Hyperlink"/>
            <w:rFonts w:ascii="Century Gothic" w:hAnsi="Century Gothic"/>
          </w:rPr>
          <w:t>https://www.eskom.co.za/distribution/wp-content/uploads/2023/07/20230710_-9553-Virtual-Wheeling-Digital-Brochure-FINAL.pdf</w:t>
        </w:r>
      </w:hyperlink>
    </w:p>
    <w:p w14:paraId="38E7CFFF" w14:textId="77777777" w:rsidR="009D14D6" w:rsidRPr="002E6360" w:rsidRDefault="009D14D6" w:rsidP="009D14D6">
      <w:pPr>
        <w:pStyle w:val="ListParagraph"/>
        <w:numPr>
          <w:ilvl w:val="0"/>
          <w:numId w:val="63"/>
        </w:numPr>
        <w:spacing w:beforeLines="120" w:before="288" w:afterLines="120" w:after="288" w:line="240" w:lineRule="auto"/>
        <w:contextualSpacing w:val="0"/>
        <w:rPr>
          <w:rFonts w:ascii="Century Gothic" w:hAnsi="Century Gothic"/>
          <w:b/>
          <w:bCs/>
        </w:rPr>
      </w:pPr>
      <w:r w:rsidRPr="00E55368">
        <w:rPr>
          <w:rFonts w:ascii="Century Gothic" w:hAnsi="Century Gothic"/>
          <w:b/>
          <w:bCs/>
        </w:rPr>
        <w:t>Guide for Municipalities on Assessing EG Applications 1MW and Larger</w:t>
      </w:r>
      <w:r>
        <w:rPr>
          <w:rFonts w:ascii="Century Gothic" w:hAnsi="Century Gothic"/>
          <w:b/>
          <w:bCs/>
        </w:rPr>
        <w:t xml:space="preserve">: </w:t>
      </w:r>
      <w:r w:rsidRPr="00957D0A">
        <w:rPr>
          <w:rFonts w:ascii="Century Gothic" w:hAnsi="Century Gothic"/>
        </w:rPr>
        <w:t xml:space="preserve">This guide provides a step-by-step overview of what municipalities must do to connect larger than 1MW generators to their distribution grids, including regulatory aspects, technical standards, and necessary documentation, etc. This is a useful guide for third-party energy providers that are interested in building embedded generators to wheel. </w:t>
      </w:r>
    </w:p>
    <w:p w14:paraId="1FB9E08A" w14:textId="30233684" w:rsidR="009D14D6" w:rsidRPr="00330C5A" w:rsidRDefault="009D14D6" w:rsidP="009D14D6">
      <w:pPr>
        <w:pStyle w:val="ListParagraph"/>
        <w:spacing w:beforeLines="120" w:before="288" w:afterLines="120" w:after="288" w:line="240" w:lineRule="auto"/>
        <w:contextualSpacing w:val="0"/>
        <w:rPr>
          <w:rFonts w:ascii="Century Gothic" w:hAnsi="Century Gothic"/>
        </w:rPr>
      </w:pPr>
      <w:r w:rsidRPr="00957D0A">
        <w:rPr>
          <w:rFonts w:ascii="Century Gothic" w:hAnsi="Century Gothic"/>
        </w:rPr>
        <w:t xml:space="preserve">Link: </w:t>
      </w:r>
      <w:hyperlink r:id="rId69" w:history="1">
        <w:r w:rsidRPr="00957D0A">
          <w:rPr>
            <w:rStyle w:val="Hyperlink"/>
            <w:rFonts w:ascii="Century Gothic" w:hAnsi="Century Gothic"/>
          </w:rPr>
          <w:t>https://www.sseg.org.za/guide-for-municipalities-on-assessing-eg-applications-1mw-and-larger/</w:t>
        </w:r>
      </w:hyperlink>
    </w:p>
    <w:p w14:paraId="0194ED6B" w14:textId="27944D47" w:rsidR="00330C5A" w:rsidRDefault="009D14D6" w:rsidP="00845741">
      <w:pPr>
        <w:pStyle w:val="ListParagraph"/>
        <w:numPr>
          <w:ilvl w:val="0"/>
          <w:numId w:val="63"/>
        </w:numPr>
        <w:spacing w:beforeLines="120" w:before="288" w:afterLines="120" w:after="288" w:line="240" w:lineRule="auto"/>
        <w:contextualSpacing w:val="0"/>
        <w:rPr>
          <w:rFonts w:ascii="Century Gothic" w:hAnsi="Century Gothic"/>
        </w:rPr>
      </w:pPr>
      <w:r w:rsidRPr="009D14D6">
        <w:rPr>
          <w:rFonts w:ascii="Century Gothic" w:hAnsi="Century Gothic"/>
          <w:b/>
          <w:bCs/>
        </w:rPr>
        <w:t>Cost of supply practices:</w:t>
      </w:r>
      <w:r>
        <w:rPr>
          <w:rFonts w:ascii="Century Gothic" w:hAnsi="Century Gothic"/>
        </w:rPr>
        <w:t xml:space="preserve"> </w:t>
      </w:r>
      <w:r w:rsidR="00330C5A" w:rsidRPr="00330C5A">
        <w:rPr>
          <w:rFonts w:ascii="Century Gothic" w:hAnsi="Century Gothic"/>
        </w:rPr>
        <w:t>Resources to support municipalities improve their electricity cost of supply practices.</w:t>
      </w:r>
    </w:p>
    <w:p w14:paraId="3FF2D5A4" w14:textId="10FF5FE4" w:rsidR="00330C5A" w:rsidRPr="00845741" w:rsidRDefault="00330C5A" w:rsidP="00845741">
      <w:pPr>
        <w:pStyle w:val="BodyText"/>
        <w:spacing w:beforeLines="120" w:before="288" w:afterLines="120" w:after="288" w:line="240" w:lineRule="auto"/>
        <w:ind w:firstLine="720"/>
        <w:rPr>
          <w:rFonts w:ascii="Century Gothic" w:hAnsi="Century Gothic" w:cs="Arial"/>
        </w:rPr>
      </w:pPr>
      <w:r w:rsidRPr="00957D0A">
        <w:rPr>
          <w:rFonts w:ascii="Century Gothic" w:hAnsi="Century Gothic"/>
        </w:rPr>
        <w:t>Link:</w:t>
      </w:r>
      <w:r w:rsidR="00845741">
        <w:rPr>
          <w:rFonts w:ascii="Century Gothic" w:hAnsi="Century Gothic"/>
        </w:rPr>
        <w:t xml:space="preserve"> </w:t>
      </w:r>
      <w:hyperlink r:id="rId70" w:history="1">
        <w:r w:rsidR="00845741" w:rsidRPr="00317F61">
          <w:rPr>
            <w:rStyle w:val="Hyperlink"/>
            <w:rFonts w:ascii="Century Gothic" w:hAnsi="Century Gothic"/>
          </w:rPr>
          <w:t>Cost of Supply Studies - Embedded Generation Resource Portal (sseg.org.za)</w:t>
        </w:r>
      </w:hyperlink>
      <w:r w:rsidR="00845741">
        <w:rPr>
          <w:rStyle w:val="Hyperlink"/>
          <w:rFonts w:ascii="Century Gothic" w:hAnsi="Century Gothic"/>
        </w:rPr>
        <w:t xml:space="preserve">. </w:t>
      </w:r>
    </w:p>
    <w:p w14:paraId="77DBFE65" w14:textId="6D213499" w:rsidR="00330C5A" w:rsidRDefault="00330C5A" w:rsidP="00845741">
      <w:pPr>
        <w:pStyle w:val="ListParagraph"/>
        <w:numPr>
          <w:ilvl w:val="0"/>
          <w:numId w:val="63"/>
        </w:numPr>
        <w:spacing w:beforeLines="120" w:before="288" w:afterLines="120" w:after="288" w:line="240" w:lineRule="auto"/>
        <w:contextualSpacing w:val="0"/>
        <w:rPr>
          <w:rFonts w:ascii="Century Gothic" w:hAnsi="Century Gothic"/>
        </w:rPr>
      </w:pPr>
      <w:r w:rsidRPr="009D14D6">
        <w:rPr>
          <w:rFonts w:ascii="Century Gothic" w:hAnsi="Century Gothic"/>
          <w:b/>
          <w:bCs/>
        </w:rPr>
        <w:t>The cost of supply framework 2016 (NERSA)</w:t>
      </w:r>
      <w:r w:rsidR="009D14D6" w:rsidRPr="009D14D6">
        <w:rPr>
          <w:rFonts w:ascii="Century Gothic" w:hAnsi="Century Gothic"/>
          <w:b/>
          <w:bCs/>
        </w:rPr>
        <w:t>:</w:t>
      </w:r>
      <w:r w:rsidRPr="00330C5A">
        <w:rPr>
          <w:rFonts w:ascii="Century Gothic" w:hAnsi="Century Gothic"/>
        </w:rPr>
        <w:t xml:space="preserve"> is a document that provides guidelines for licensed electricity distributors to conduct cost of supply studies. It was issued by the National Energy Regulator of South Africa (NERSA) in March 2015.</w:t>
      </w:r>
    </w:p>
    <w:p w14:paraId="460C152E" w14:textId="6A79F8D6" w:rsidR="00330C5A" w:rsidRDefault="00330C5A" w:rsidP="00845741">
      <w:pPr>
        <w:pStyle w:val="BodyText"/>
        <w:spacing w:beforeLines="120" w:before="288" w:afterLines="120" w:after="288" w:line="240" w:lineRule="auto"/>
        <w:ind w:firstLine="720"/>
        <w:rPr>
          <w:rStyle w:val="Hyperlink"/>
          <w:rFonts w:ascii="Century Gothic" w:hAnsi="Century Gothic"/>
        </w:rPr>
      </w:pPr>
      <w:r w:rsidRPr="00957D0A">
        <w:rPr>
          <w:rFonts w:ascii="Century Gothic" w:hAnsi="Century Gothic"/>
        </w:rPr>
        <w:t>Link:</w:t>
      </w:r>
      <w:r w:rsidR="00845741">
        <w:rPr>
          <w:rFonts w:ascii="Century Gothic" w:hAnsi="Century Gothic"/>
        </w:rPr>
        <w:t xml:space="preserve"> </w:t>
      </w:r>
      <w:hyperlink r:id="rId71" w:history="1">
        <w:r w:rsidR="00845741" w:rsidRPr="00330C5A">
          <w:rPr>
            <w:rStyle w:val="Hyperlink"/>
            <w:rFonts w:ascii="Century Gothic" w:hAnsi="Century Gothic"/>
          </w:rPr>
          <w:t>Published-Consultation-Paper-COS-Framework-Final-1.pdf (nersa.org.za)</w:t>
        </w:r>
      </w:hyperlink>
      <w:r w:rsidR="00845741" w:rsidRPr="00330C5A">
        <w:rPr>
          <w:rStyle w:val="Hyperlink"/>
          <w:rFonts w:ascii="Century Gothic" w:hAnsi="Century Gothic"/>
        </w:rPr>
        <w:t xml:space="preserve"> </w:t>
      </w:r>
    </w:p>
    <w:p w14:paraId="1D53CD91" w14:textId="77777777" w:rsidR="009D14D6" w:rsidRDefault="009D14D6" w:rsidP="009D14D6">
      <w:pPr>
        <w:pStyle w:val="ListParagraph"/>
        <w:numPr>
          <w:ilvl w:val="0"/>
          <w:numId w:val="63"/>
        </w:numPr>
        <w:spacing w:beforeLines="120" w:before="288" w:afterLines="120" w:after="288" w:line="240" w:lineRule="auto"/>
        <w:contextualSpacing w:val="0"/>
        <w:rPr>
          <w:rFonts w:ascii="Century Gothic" w:hAnsi="Century Gothic"/>
        </w:rPr>
      </w:pPr>
      <w:r w:rsidRPr="009D14D6">
        <w:rPr>
          <w:rFonts w:ascii="Century Gothic" w:hAnsi="Century Gothic"/>
          <w:b/>
          <w:bCs/>
        </w:rPr>
        <w:t>The EPP 2008 (DMRE)</w:t>
      </w:r>
      <w:r>
        <w:rPr>
          <w:rFonts w:ascii="Century Gothic" w:hAnsi="Century Gothic"/>
        </w:rPr>
        <w:t>:</w:t>
      </w:r>
      <w:r w:rsidRPr="00330C5A">
        <w:rPr>
          <w:rFonts w:ascii="Century Gothic" w:hAnsi="Century Gothic"/>
        </w:rPr>
        <w:t xml:space="preserve"> is a document that outlines the policy framework for electricity pricing in South Africa. It was published by the Department of Minerals and Energy in the Government Gazette on 19 December 2008.</w:t>
      </w:r>
    </w:p>
    <w:p w14:paraId="3301F7F0" w14:textId="77777777" w:rsidR="009D14D6" w:rsidRPr="00845741" w:rsidRDefault="009D14D6" w:rsidP="009D14D6">
      <w:pPr>
        <w:pStyle w:val="BodyText"/>
        <w:spacing w:beforeLines="120" w:before="288" w:afterLines="120" w:after="288" w:line="240" w:lineRule="auto"/>
        <w:ind w:firstLine="720"/>
        <w:rPr>
          <w:rFonts w:ascii="Century Gothic" w:hAnsi="Century Gothic"/>
          <w:color w:val="0000FF" w:themeColor="hyperlink"/>
          <w:u w:val="single"/>
        </w:rPr>
      </w:pPr>
      <w:r w:rsidRPr="00957D0A">
        <w:rPr>
          <w:rFonts w:ascii="Century Gothic" w:hAnsi="Century Gothic"/>
        </w:rPr>
        <w:t>Link:</w:t>
      </w:r>
      <w:r>
        <w:rPr>
          <w:rFonts w:ascii="Century Gothic" w:hAnsi="Century Gothic"/>
        </w:rPr>
        <w:t xml:space="preserve"> </w:t>
      </w:r>
      <w:hyperlink r:id="rId72" w:history="1">
        <w:r w:rsidRPr="00317F61">
          <w:rPr>
            <w:rStyle w:val="Hyperlink"/>
            <w:rFonts w:ascii="Century Gothic" w:hAnsi="Century Gothic"/>
          </w:rPr>
          <w:t>1-31741 19-12 Min (energy.gov.za)</w:t>
        </w:r>
      </w:hyperlink>
      <w:r w:rsidRPr="00317F61">
        <w:rPr>
          <w:rStyle w:val="Hyperlink"/>
          <w:rFonts w:ascii="Century Gothic" w:hAnsi="Century Gothic"/>
        </w:rPr>
        <w:t xml:space="preserve">. </w:t>
      </w:r>
    </w:p>
    <w:p w14:paraId="60F3C92D" w14:textId="7A170076" w:rsidR="002B1635" w:rsidRPr="00E55368" w:rsidRDefault="00CE5A95" w:rsidP="002B1635">
      <w:pPr>
        <w:pStyle w:val="Heading1"/>
      </w:pPr>
      <w:bookmarkStart w:id="53" w:name="_Toc145484206"/>
      <w:r>
        <w:t xml:space="preserve">Proposed IT </w:t>
      </w:r>
      <w:r w:rsidR="002B1635">
        <w:t xml:space="preserve">Systems </w:t>
      </w:r>
      <w:r w:rsidR="00B41A16">
        <w:t>t</w:t>
      </w:r>
      <w:r w:rsidR="002B1635">
        <w:t>o Implement</w:t>
      </w:r>
      <w:bookmarkStart w:id="54" w:name="_2jxsxqh" w:colFirst="0" w:colLast="0"/>
      <w:bookmarkEnd w:id="53"/>
      <w:bookmarkEnd w:id="54"/>
    </w:p>
    <w:p w14:paraId="0379B9F7" w14:textId="77777777" w:rsidR="002B1635" w:rsidRDefault="002B1635" w:rsidP="002B1635">
      <w:pPr>
        <w:shd w:val="clear" w:color="auto" w:fill="F2F2F2" w:themeFill="background1" w:themeFillShade="F2"/>
        <w:spacing w:before="120" w:line="240" w:lineRule="auto"/>
        <w:rPr>
          <w:rFonts w:ascii="Century Gothic" w:hAnsi="Century Gothic"/>
          <w:b/>
          <w:bCs/>
          <w:u w:val="single"/>
        </w:rPr>
      </w:pPr>
      <w:r w:rsidRPr="004621EF">
        <w:rPr>
          <w:rFonts w:ascii="Segoe UI Emoji" w:hAnsi="Segoe UI Emoji" w:cs="Segoe UI Emoji"/>
          <w:i/>
          <w:iCs/>
        </w:rPr>
        <w:t>🔍</w:t>
      </w:r>
      <w:r w:rsidRPr="004621EF">
        <w:rPr>
          <w:rFonts w:ascii="Century Gothic" w:hAnsi="Century Gothic"/>
          <w:b/>
          <w:bCs/>
          <w:i/>
          <w:iCs/>
          <w:u w:val="single"/>
        </w:rPr>
        <w:t xml:space="preserve"> </w:t>
      </w:r>
      <w:r w:rsidRPr="00057F38">
        <w:rPr>
          <w:rFonts w:ascii="Century Gothic" w:hAnsi="Century Gothic"/>
          <w:b/>
          <w:bCs/>
          <w:u w:val="single"/>
        </w:rPr>
        <w:t xml:space="preserve">Explanatory notes: </w:t>
      </w:r>
    </w:p>
    <w:p w14:paraId="6FDFDA72" w14:textId="77777777" w:rsidR="002B1635" w:rsidRPr="0035423D" w:rsidRDefault="002B1635" w:rsidP="002B1635">
      <w:pPr>
        <w:shd w:val="clear" w:color="auto" w:fill="F2F2F2" w:themeFill="background1" w:themeFillShade="F2"/>
        <w:rPr>
          <w:rFonts w:ascii="Century Gothic" w:hAnsi="Century Gothic" w:cs="Segoe UI Emoji"/>
          <w:i/>
          <w:iCs/>
        </w:rPr>
      </w:pPr>
      <w:r w:rsidRPr="0035423D">
        <w:rPr>
          <w:rFonts w:ascii="Century Gothic" w:hAnsi="Century Gothic" w:cs="Segoe UI Emoji"/>
          <w:i/>
          <w:iCs/>
        </w:rPr>
        <w:t>To effectively implement third-party wheeling and open access transmission, the Municipality needs to undertake the following tasks:</w:t>
      </w:r>
    </w:p>
    <w:p w14:paraId="79CC3D93" w14:textId="0FC0DBAA" w:rsidR="002B1635" w:rsidRPr="0035423D" w:rsidRDefault="002B1635" w:rsidP="00871EE8">
      <w:pPr>
        <w:pStyle w:val="ListParagraph"/>
        <w:numPr>
          <w:ilvl w:val="0"/>
          <w:numId w:val="36"/>
        </w:numPr>
        <w:shd w:val="clear" w:color="auto" w:fill="F2F2F2" w:themeFill="background1" w:themeFillShade="F2"/>
        <w:rPr>
          <w:rFonts w:ascii="Century Gothic" w:hAnsi="Century Gothic" w:cs="Segoe UI Emoji"/>
          <w:i/>
          <w:iCs/>
        </w:rPr>
      </w:pPr>
      <w:r w:rsidRPr="0035423D">
        <w:rPr>
          <w:rFonts w:ascii="Century Gothic" w:hAnsi="Century Gothic" w:cs="Segoe UI Emoji"/>
          <w:i/>
          <w:iCs/>
        </w:rPr>
        <w:lastRenderedPageBreak/>
        <w:t xml:space="preserve">Implement an automated </w:t>
      </w:r>
      <w:r w:rsidR="004173AE">
        <w:rPr>
          <w:rFonts w:ascii="Century Gothic" w:hAnsi="Century Gothic" w:cs="Segoe UI Emoji"/>
          <w:i/>
          <w:iCs/>
        </w:rPr>
        <w:t xml:space="preserve">application </w:t>
      </w:r>
      <w:r w:rsidRPr="0035423D">
        <w:rPr>
          <w:rFonts w:ascii="Century Gothic" w:hAnsi="Century Gothic" w:cs="Segoe UI Emoji"/>
          <w:i/>
          <w:iCs/>
        </w:rPr>
        <w:t>tracking system: To streamline the process and ensure timely completion of wheeling applications, the Municipality can implement an automated tracking system. This system would enable the Municipality to monitor the progress of each application, track key milestones, and identify any bottlenecks or delays that need to be addressed promptly.</w:t>
      </w:r>
    </w:p>
    <w:p w14:paraId="2B631B7A" w14:textId="77777777" w:rsidR="002B1635" w:rsidRDefault="002B1635" w:rsidP="00871EE8">
      <w:pPr>
        <w:pStyle w:val="ListParagraph"/>
        <w:numPr>
          <w:ilvl w:val="0"/>
          <w:numId w:val="36"/>
        </w:numPr>
        <w:shd w:val="clear" w:color="auto" w:fill="F2F2F2" w:themeFill="background1" w:themeFillShade="F2"/>
        <w:rPr>
          <w:rFonts w:ascii="Century Gothic" w:hAnsi="Century Gothic" w:cs="Segoe UI Emoji"/>
          <w:i/>
          <w:iCs/>
        </w:rPr>
      </w:pPr>
      <w:r w:rsidRPr="0035423D">
        <w:rPr>
          <w:rFonts w:ascii="Century Gothic" w:hAnsi="Century Gothic" w:cs="Segoe UI Emoji"/>
          <w:i/>
          <w:iCs/>
        </w:rPr>
        <w:t>Implement a document management system: To effectively manage the flow of contracts and approvals, the Municipality can adopt a document management system. This system would help track the movement of contracts through the approval process, provide visibility to all stakeholders, and ensure that everyone is informed of the status of each document.</w:t>
      </w:r>
    </w:p>
    <w:p w14:paraId="4F16BD7E" w14:textId="6DB0F62A" w:rsidR="00C7067B" w:rsidRPr="008840D2" w:rsidRDefault="008840D2" w:rsidP="00871EE8">
      <w:pPr>
        <w:pStyle w:val="ListParagraph"/>
        <w:numPr>
          <w:ilvl w:val="0"/>
          <w:numId w:val="36"/>
        </w:numPr>
        <w:shd w:val="clear" w:color="auto" w:fill="F2F2F2" w:themeFill="background1" w:themeFillShade="F2"/>
        <w:rPr>
          <w:rFonts w:ascii="Century Gothic" w:hAnsi="Century Gothic" w:cs="Segoe UI Emoji"/>
          <w:i/>
          <w:iCs/>
        </w:rPr>
      </w:pPr>
      <w:r w:rsidRPr="008840D2">
        <w:rPr>
          <w:rFonts w:ascii="Century Gothic" w:hAnsi="Century Gothic" w:cs="Segoe UI Emoji"/>
          <w:i/>
          <w:iCs/>
        </w:rPr>
        <w:t xml:space="preserve">Implement </w:t>
      </w:r>
      <w:r w:rsidRPr="008840D2">
        <w:rPr>
          <w:rFonts w:ascii="Century Gothic" w:hAnsi="Century Gothic"/>
          <w:i/>
          <w:iCs/>
        </w:rPr>
        <w:t>Smart metering systems</w:t>
      </w:r>
      <w:r w:rsidR="00632612">
        <w:rPr>
          <w:rFonts w:ascii="Century Gothic" w:hAnsi="Century Gothic"/>
          <w:i/>
          <w:iCs/>
        </w:rPr>
        <w:t>: T</w:t>
      </w:r>
      <w:r w:rsidR="00632612" w:rsidRPr="00632612">
        <w:rPr>
          <w:rFonts w:ascii="Century Gothic" w:hAnsi="Century Gothic"/>
          <w:i/>
          <w:iCs/>
        </w:rPr>
        <w:t>he integration of smart metering systems is a key enabler for successful wheeling operations. Smart meters provide real-time or near-real-time data on energy consumption, making it possible to accurately measure, monitor, and bill for the energy exchanged through the wheeling process. These systems enhance transparency, accountability, and accuracy in energy transactions, benefiting both the Municipality and customers.</w:t>
      </w:r>
    </w:p>
    <w:p w14:paraId="1421E087" w14:textId="3B4E69C4" w:rsidR="002B1635" w:rsidRPr="0035423D" w:rsidRDefault="002B1635" w:rsidP="00871EE8">
      <w:pPr>
        <w:pStyle w:val="ListParagraph"/>
        <w:numPr>
          <w:ilvl w:val="0"/>
          <w:numId w:val="36"/>
        </w:numPr>
        <w:shd w:val="clear" w:color="auto" w:fill="F2F2F2" w:themeFill="background1" w:themeFillShade="F2"/>
        <w:rPr>
          <w:rFonts w:ascii="Century Gothic" w:hAnsi="Century Gothic" w:cs="Segoe UI Emoji"/>
          <w:i/>
          <w:iCs/>
        </w:rPr>
      </w:pPr>
      <w:r w:rsidRPr="0035423D">
        <w:rPr>
          <w:rFonts w:ascii="Century Gothic" w:hAnsi="Century Gothic" w:cs="Segoe UI Emoji"/>
          <w:i/>
          <w:iCs/>
        </w:rPr>
        <w:t>Update billing system: In order to accommodate wheeling transactions, the Municipality needs to update its billing system. This update should include necessary modifications to accurately calculate, and process charges associated with third-party wheeling, such as wheeling charges, energy consumption fees, and any other relevant financial obligations.</w:t>
      </w:r>
      <w:r w:rsidR="00F1326A">
        <w:rPr>
          <w:rFonts w:ascii="Century Gothic" w:hAnsi="Century Gothic" w:cs="Segoe UI Emoji"/>
          <w:i/>
          <w:iCs/>
        </w:rPr>
        <w:t xml:space="preserve"> (Note a manual billing tool is available to use </w:t>
      </w:r>
      <w:r w:rsidR="00DF2506">
        <w:rPr>
          <w:rFonts w:ascii="Century Gothic" w:hAnsi="Century Gothic" w:cs="Segoe UI Emoji"/>
          <w:i/>
          <w:iCs/>
        </w:rPr>
        <w:t>in the interim)</w:t>
      </w:r>
    </w:p>
    <w:p w14:paraId="72AF6046" w14:textId="77777777" w:rsidR="002B1635" w:rsidRDefault="002B1635" w:rsidP="002B1635">
      <w:pPr>
        <w:shd w:val="clear" w:color="auto" w:fill="F2F2F2" w:themeFill="background1" w:themeFillShade="F2"/>
        <w:rPr>
          <w:rFonts w:ascii="Century Gothic" w:hAnsi="Century Gothic" w:cs="Segoe UI Emoji"/>
          <w:i/>
          <w:iCs/>
        </w:rPr>
      </w:pPr>
      <w:r w:rsidRPr="0035423D">
        <w:rPr>
          <w:rFonts w:ascii="Century Gothic" w:hAnsi="Century Gothic" w:cs="Segoe UI Emoji"/>
          <w:i/>
          <w:iCs/>
        </w:rPr>
        <w:t>Implementing these systems and processes will enable the Municipality to effectively manage third-party wheeling and open access transmission, ensuring transparency, efficiency, and accurate billing for all parties involved.</w:t>
      </w:r>
      <w:r>
        <w:rPr>
          <w:rFonts w:ascii="Century Gothic" w:hAnsi="Century Gothic" w:cs="Segoe UI Emoji"/>
          <w:i/>
          <w:iCs/>
        </w:rPr>
        <w:t xml:space="preserve"> </w:t>
      </w:r>
    </w:p>
    <w:p w14:paraId="4D0D5756" w14:textId="3FA42EE5" w:rsidR="002B1635" w:rsidRPr="005D14E4" w:rsidRDefault="002B1635" w:rsidP="002B1635">
      <w:pPr>
        <w:shd w:val="clear" w:color="auto" w:fill="F2F2F2" w:themeFill="background1" w:themeFillShade="F2"/>
        <w:rPr>
          <w:rFonts w:ascii="Century Gothic" w:hAnsi="Century Gothic"/>
          <w:i/>
          <w:iCs/>
        </w:rPr>
      </w:pPr>
      <w:r w:rsidRPr="005D14E4">
        <w:rPr>
          <w:rFonts w:ascii="Century Gothic" w:hAnsi="Century Gothic" w:cs="Segoe UI Emoji"/>
          <w:i/>
          <w:iCs/>
        </w:rPr>
        <w:t>When the</w:t>
      </w:r>
      <w:r w:rsidR="001E6195">
        <w:rPr>
          <w:rFonts w:ascii="Century Gothic" w:hAnsi="Century Gothic" w:cs="Segoe UI Emoji"/>
          <w:i/>
          <w:iCs/>
        </w:rPr>
        <w:t>re</w:t>
      </w:r>
      <w:r w:rsidRPr="005D14E4">
        <w:rPr>
          <w:rFonts w:ascii="Century Gothic" w:hAnsi="Century Gothic" w:cs="Segoe UI Emoji"/>
          <w:i/>
          <w:iCs/>
        </w:rPr>
        <w:t xml:space="preserve"> is a high increase in volumes of Third-Party Wheeling Transactions in the Municipality, the </w:t>
      </w:r>
      <w:r w:rsidR="00D75EB3">
        <w:rPr>
          <w:rFonts w:ascii="Century Gothic" w:hAnsi="Century Gothic" w:cs="Segoe UI Emoji"/>
          <w:i/>
          <w:iCs/>
        </w:rPr>
        <w:t xml:space="preserve">Municipality </w:t>
      </w:r>
      <w:r w:rsidR="00D75EB3" w:rsidRPr="005D14E4">
        <w:rPr>
          <w:rFonts w:ascii="Century Gothic" w:hAnsi="Century Gothic" w:cs="Segoe UI Emoji"/>
          <w:i/>
          <w:iCs/>
        </w:rPr>
        <w:t>may</w:t>
      </w:r>
      <w:r w:rsidRPr="005D14E4">
        <w:rPr>
          <w:rFonts w:ascii="Century Gothic" w:hAnsi="Century Gothic" w:cs="Segoe UI Emoji"/>
          <w:i/>
          <w:iCs/>
        </w:rPr>
        <w:t xml:space="preserve"> need to </w:t>
      </w:r>
      <w:r w:rsidR="00DE6C3F" w:rsidRPr="005D14E4">
        <w:rPr>
          <w:rFonts w:ascii="Century Gothic" w:hAnsi="Century Gothic" w:cs="Segoe UI Emoji"/>
          <w:i/>
          <w:iCs/>
        </w:rPr>
        <w:t xml:space="preserve">consider </w:t>
      </w:r>
      <w:r w:rsidR="004078CE" w:rsidRPr="005D14E4">
        <w:rPr>
          <w:rFonts w:ascii="Century Gothic" w:hAnsi="Century Gothic" w:cs="Segoe UI Emoji"/>
          <w:i/>
          <w:iCs/>
        </w:rPr>
        <w:t>investigating greater</w:t>
      </w:r>
      <w:r w:rsidRPr="005D14E4">
        <w:rPr>
          <w:rFonts w:ascii="Century Gothic" w:hAnsi="Century Gothic"/>
          <w:i/>
          <w:iCs/>
        </w:rPr>
        <w:t xml:space="preserve"> flexibility and grid balancing at the distribution level</w:t>
      </w:r>
      <w:r w:rsidR="007F7560">
        <w:rPr>
          <w:rFonts w:ascii="Century Gothic" w:hAnsi="Century Gothic"/>
          <w:i/>
          <w:iCs/>
        </w:rPr>
        <w:t xml:space="preserve">, </w:t>
      </w:r>
      <w:r w:rsidR="00790E90">
        <w:rPr>
          <w:rFonts w:ascii="Century Gothic" w:hAnsi="Century Gothic"/>
          <w:i/>
          <w:iCs/>
        </w:rPr>
        <w:t xml:space="preserve">to </w:t>
      </w:r>
      <w:r w:rsidR="00790E90" w:rsidRPr="005D14E4">
        <w:rPr>
          <w:rFonts w:ascii="Century Gothic" w:hAnsi="Century Gothic"/>
          <w:i/>
          <w:iCs/>
        </w:rPr>
        <w:t>help</w:t>
      </w:r>
      <w:r w:rsidRPr="005D14E4">
        <w:rPr>
          <w:rFonts w:ascii="Century Gothic" w:hAnsi="Century Gothic"/>
          <w:i/>
          <w:iCs/>
        </w:rPr>
        <w:t xml:space="preserve"> to improve the resilience, efficiency, and reliability of the South African power system. Scaling flexibility services refers to the process of increasing the availability and use of services that help to balance the electricity grid in real-time. This is becoming increasingly important as the share of variable renewable energy sources, such as wind and solar power, in the electricity mix continues to grow. Flexibility services include a range of technologies and practices that can help to manage the variability of renewable energy generation and ensure a stable and reliable supply of electricity. For example, demand response programs allow consumers to adjust their energy use in response to grid conditions, while energy storage systems can store excess energy during times of high generation and release it back to the grid during times of high demand. Other flexibility services include virtual power plants, which aggregate distributed energy resources to provide grid services, and advanced forecasting and scheduling tools, which can help to optimize the use of renewable energy resources and reduce curtailment.</w:t>
      </w:r>
    </w:p>
    <w:p w14:paraId="13DC6C77" w14:textId="37655A2D" w:rsidR="002B1635" w:rsidRPr="005D14E4" w:rsidRDefault="002B1635" w:rsidP="002B1635">
      <w:pPr>
        <w:shd w:val="clear" w:color="auto" w:fill="F2F2F2" w:themeFill="background1" w:themeFillShade="F2"/>
        <w:rPr>
          <w:rFonts w:ascii="Century Gothic" w:hAnsi="Century Gothic"/>
          <w:i/>
          <w:iCs/>
        </w:rPr>
      </w:pPr>
      <w:r w:rsidRPr="005D14E4">
        <w:rPr>
          <w:rFonts w:ascii="Century Gothic" w:hAnsi="Century Gothic"/>
          <w:i/>
          <w:iCs/>
        </w:rPr>
        <w:t>Scaling flexibility services requires a coordinated effort from municipalities, grid operators, regulators, and market participants to create a market environment that values and incentivizes flexibility and include</w:t>
      </w:r>
      <w:r w:rsidR="009768AA">
        <w:rPr>
          <w:rFonts w:ascii="Century Gothic" w:hAnsi="Century Gothic"/>
          <w:i/>
          <w:iCs/>
        </w:rPr>
        <w:t>s</w:t>
      </w:r>
      <w:r w:rsidRPr="005D14E4">
        <w:rPr>
          <w:rFonts w:ascii="Century Gothic" w:hAnsi="Century Gothic"/>
          <w:i/>
          <w:iCs/>
        </w:rPr>
        <w:t xml:space="preserve"> the use of ADMS, DERMS, Smart grid, smart metering, </w:t>
      </w:r>
      <w:r w:rsidR="000B2FDF">
        <w:rPr>
          <w:rFonts w:ascii="Century Gothic" w:hAnsi="Century Gothic"/>
          <w:i/>
          <w:iCs/>
        </w:rPr>
        <w:t xml:space="preserve">and </w:t>
      </w:r>
      <w:r w:rsidRPr="005D14E4">
        <w:rPr>
          <w:rFonts w:ascii="Century Gothic" w:hAnsi="Century Gothic"/>
          <w:i/>
          <w:iCs/>
        </w:rPr>
        <w:t>virtual power plant technology</w:t>
      </w:r>
      <w:r w:rsidR="000B2FDF">
        <w:rPr>
          <w:rFonts w:ascii="Century Gothic" w:hAnsi="Century Gothic"/>
          <w:i/>
          <w:iCs/>
        </w:rPr>
        <w:t>,</w:t>
      </w:r>
      <w:r w:rsidRPr="005D14E4">
        <w:rPr>
          <w:rFonts w:ascii="Century Gothic" w:hAnsi="Century Gothic"/>
          <w:i/>
          <w:iCs/>
        </w:rPr>
        <w:t xml:space="preserve"> which </w:t>
      </w:r>
      <w:r w:rsidR="009762CC">
        <w:rPr>
          <w:rFonts w:ascii="Century Gothic" w:hAnsi="Century Gothic"/>
          <w:i/>
          <w:iCs/>
        </w:rPr>
        <w:t>are</w:t>
      </w:r>
      <w:r w:rsidRPr="005D14E4">
        <w:rPr>
          <w:rFonts w:ascii="Century Gothic" w:hAnsi="Century Gothic"/>
          <w:i/>
          <w:iCs/>
        </w:rPr>
        <w:t xml:space="preserve"> further unpacked below:</w:t>
      </w:r>
    </w:p>
    <w:p w14:paraId="0A39CC21" w14:textId="4F5292A7" w:rsidR="002B1635" w:rsidRPr="005D14E4" w:rsidRDefault="002B1635" w:rsidP="002B1635">
      <w:pPr>
        <w:shd w:val="clear" w:color="auto" w:fill="F2F2F2" w:themeFill="background1" w:themeFillShade="F2"/>
        <w:rPr>
          <w:rFonts w:ascii="Century Gothic" w:hAnsi="Century Gothic"/>
          <w:i/>
          <w:iCs/>
        </w:rPr>
      </w:pPr>
      <w:r w:rsidRPr="005D14E4">
        <w:rPr>
          <w:rFonts w:ascii="Century Gothic" w:hAnsi="Century Gothic"/>
          <w:i/>
          <w:iCs/>
        </w:rPr>
        <w:t>•ADMS (Advanced Distribution Management System) and DERMS (Distributed Energy Resource Management System): are two types of software platforms used in the renewable energy sector to manage the integration and operation of distributed energy resources (DERs) into the grid.</w:t>
      </w:r>
      <w:r w:rsidR="00050178">
        <w:rPr>
          <w:rFonts w:ascii="Century Gothic" w:hAnsi="Century Gothic"/>
          <w:i/>
          <w:iCs/>
        </w:rPr>
        <w:t xml:space="preserve"> </w:t>
      </w:r>
      <w:r w:rsidR="008864F1" w:rsidRPr="00FB29E8">
        <w:rPr>
          <w:rFonts w:ascii="Century Gothic" w:hAnsi="Century Gothic"/>
          <w:i/>
          <w:iCs/>
        </w:rPr>
        <w:t>ADM</w:t>
      </w:r>
      <w:r w:rsidR="008864F1">
        <w:rPr>
          <w:rFonts w:ascii="Century Gothic" w:hAnsi="Century Gothic"/>
          <w:i/>
          <w:iCs/>
        </w:rPr>
        <w:t xml:space="preserve">S </w:t>
      </w:r>
      <w:r w:rsidR="008864F1" w:rsidRPr="00FB29E8">
        <w:rPr>
          <w:rFonts w:ascii="Century Gothic" w:hAnsi="Century Gothic"/>
          <w:i/>
          <w:iCs/>
        </w:rPr>
        <w:t>shares</w:t>
      </w:r>
      <w:r w:rsidR="00FB29E8" w:rsidRPr="00FB29E8">
        <w:rPr>
          <w:rFonts w:ascii="Century Gothic" w:hAnsi="Century Gothic"/>
          <w:i/>
          <w:iCs/>
        </w:rPr>
        <w:t xml:space="preserve"> some similarities with SCADA (Supervisory Control and Data Acquisition) systems, it is important to note that ADMS is a more advanced and comprehensive software </w:t>
      </w:r>
      <w:r w:rsidR="00FB29E8" w:rsidRPr="00FB29E8">
        <w:rPr>
          <w:rFonts w:ascii="Century Gothic" w:hAnsi="Century Gothic"/>
          <w:i/>
          <w:iCs/>
        </w:rPr>
        <w:lastRenderedPageBreak/>
        <w:t>platform designed specifically for managing distribution networks. ADMS extends beyond the functionalities of traditional SCADA systems to include additional features such as outage management, fault detection and localization, load balancing, and advanced analytics</w:t>
      </w:r>
      <w:r w:rsidR="008864F1">
        <w:rPr>
          <w:rFonts w:ascii="Century Gothic" w:hAnsi="Century Gothic"/>
          <w:i/>
          <w:iCs/>
        </w:rPr>
        <w:t>.</w:t>
      </w:r>
      <w:r w:rsidR="008864F1" w:rsidRPr="008864F1">
        <w:t xml:space="preserve"> </w:t>
      </w:r>
      <w:r w:rsidR="008864F1" w:rsidRPr="008864F1">
        <w:rPr>
          <w:rFonts w:ascii="Century Gothic" w:hAnsi="Century Gothic"/>
          <w:i/>
          <w:iCs/>
        </w:rPr>
        <w:t>While both ADMS and SCADA involve real-time monitoring, control, and data acquisition, ADMS provides utilities with a more integrated and holistic approach to managing distribution networks. It incorporates functionalities from various systems, including SCADA, into a single platform that offers enhanced capabilities for optimizing grid operations, managing outages, and ensuring reliable energy distribution.</w:t>
      </w:r>
    </w:p>
    <w:p w14:paraId="6658B89F" w14:textId="77777777" w:rsidR="002B1635" w:rsidRPr="005D14E4" w:rsidRDefault="002B1635" w:rsidP="002B1635">
      <w:pPr>
        <w:shd w:val="clear" w:color="auto" w:fill="F2F2F2" w:themeFill="background1" w:themeFillShade="F2"/>
        <w:rPr>
          <w:rFonts w:ascii="Century Gothic" w:hAnsi="Century Gothic"/>
          <w:i/>
          <w:iCs/>
        </w:rPr>
      </w:pPr>
      <w:r w:rsidRPr="005D14E4">
        <w:rPr>
          <w:rFonts w:ascii="Century Gothic" w:hAnsi="Century Gothic"/>
          <w:i/>
          <w:iCs/>
        </w:rPr>
        <w:t>•An ADMS: is a software platform that provides real-time monitoring and control of the distribution grid, including the integration of DERs such as solar panels, wind turbines, energy storage systems, and electric vehicles. The system helps utilities to manage grid stability and reliability, reduce outage times, and optimize the use of DERs. ADMS systems use data analytics, machine learning, and artificial intelligence to provide advanced capabilities such as outage prediction and self-healing networks.</w:t>
      </w:r>
    </w:p>
    <w:p w14:paraId="74AF9329" w14:textId="77777777" w:rsidR="002B1635" w:rsidRPr="005D14E4" w:rsidRDefault="002B1635" w:rsidP="002B1635">
      <w:pPr>
        <w:shd w:val="clear" w:color="auto" w:fill="F2F2F2" w:themeFill="background1" w:themeFillShade="F2"/>
        <w:rPr>
          <w:rFonts w:ascii="Century Gothic" w:hAnsi="Century Gothic"/>
          <w:i/>
          <w:iCs/>
        </w:rPr>
      </w:pPr>
      <w:r w:rsidRPr="005D14E4">
        <w:rPr>
          <w:rFonts w:ascii="Century Gothic" w:hAnsi="Century Gothic"/>
          <w:i/>
          <w:iCs/>
        </w:rPr>
        <w:t>•A DERMS: is a software platform that manages the deployment and operation of DERs, including solar panels, energy storage systems, and electric vehicles, at the distribution level. The system helps to optimize the use of DERs by forecasting energy production and consumption, coordinating the dispatch of DERs, and managing the interaction between DERs and the grid. DERMS systems can also help utilities to manage grid stability and reliability by providing real-time information on DER performance and capabilities.</w:t>
      </w:r>
    </w:p>
    <w:p w14:paraId="0EAD7F36" w14:textId="464145EA" w:rsidR="002B1635" w:rsidRPr="005D14E4" w:rsidRDefault="002B1635" w:rsidP="002B1635">
      <w:pPr>
        <w:shd w:val="clear" w:color="auto" w:fill="F2F2F2" w:themeFill="background1" w:themeFillShade="F2"/>
        <w:rPr>
          <w:rFonts w:ascii="Century Gothic" w:hAnsi="Century Gothic"/>
          <w:i/>
          <w:iCs/>
        </w:rPr>
      </w:pPr>
      <w:r w:rsidRPr="005D14E4">
        <w:rPr>
          <w:rFonts w:ascii="Century Gothic" w:hAnsi="Century Gothic"/>
          <w:i/>
          <w:iCs/>
        </w:rPr>
        <w:t>•Both ADMS and DERMS are important tools for managing the integration of renewable energy into the grid. They help utilities to improve grid stability, reduce energy costs, and increase the use of renewable energy resources. These software platforms are becoming increasingly important as the share of renewable energy in the electricity mix continues to grow, and as the grid becomes more complex with the addition of DERs.</w:t>
      </w:r>
    </w:p>
    <w:p w14:paraId="30F60313" w14:textId="63D64609" w:rsidR="002B1635" w:rsidRPr="005D14E4" w:rsidRDefault="002B1635" w:rsidP="002B1635">
      <w:pPr>
        <w:shd w:val="clear" w:color="auto" w:fill="F2F2F2" w:themeFill="background1" w:themeFillShade="F2"/>
        <w:rPr>
          <w:rFonts w:ascii="Century Gothic" w:hAnsi="Century Gothic"/>
          <w:i/>
          <w:iCs/>
        </w:rPr>
      </w:pPr>
      <w:r w:rsidRPr="005D14E4">
        <w:rPr>
          <w:rFonts w:ascii="Century Gothic" w:hAnsi="Century Gothic"/>
          <w:i/>
          <w:iCs/>
        </w:rPr>
        <w:t xml:space="preserve">•Smart metering systems and ADMS/DERMS are </w:t>
      </w:r>
      <w:r w:rsidR="0045419F">
        <w:rPr>
          <w:rFonts w:ascii="Century Gothic" w:hAnsi="Century Gothic"/>
          <w:i/>
          <w:iCs/>
        </w:rPr>
        <w:t>compliment</w:t>
      </w:r>
      <w:r w:rsidR="00F65AE9">
        <w:rPr>
          <w:rFonts w:ascii="Century Gothic" w:hAnsi="Century Gothic"/>
          <w:i/>
          <w:iCs/>
        </w:rPr>
        <w:t>ing</w:t>
      </w:r>
      <w:r w:rsidR="00895843">
        <w:rPr>
          <w:rFonts w:ascii="Century Gothic" w:hAnsi="Century Gothic"/>
          <w:i/>
          <w:iCs/>
        </w:rPr>
        <w:t xml:space="preserve"> each other system wise</w:t>
      </w:r>
      <w:r w:rsidRPr="005D14E4">
        <w:rPr>
          <w:rFonts w:ascii="Century Gothic" w:hAnsi="Century Gothic"/>
          <w:i/>
          <w:iCs/>
        </w:rPr>
        <w:t xml:space="preserve"> for managing the integration of renewable energy into the grid, but they serve different purposes. Smart metering systems are used for measuring and collecting data on energy consumption at the customer level. They provide utilities with near real-time data on energy usage, which can be used to optimize grid operations, identify energy waste, and develop demand response programs. Smart meters are an important tool for improving energy efficiency, reducing peak demand, and providing customers with more control over their energy consumption. In other words, smart metering systems focus on measuring and managing energy consumption, while ADMS and DERMS focus on managing the integration and operation of renewable energy resources in the distribution grid. Smart metering systems can provide important data inputs to ADMS and DERMS, helping utilities to make more informed decisions about grid operations and the integration of renewable energy resources.</w:t>
      </w:r>
    </w:p>
    <w:p w14:paraId="68E0BC2D" w14:textId="24AB3BEE" w:rsidR="002B1635" w:rsidRPr="005D14E4" w:rsidRDefault="002B1635" w:rsidP="002B1635">
      <w:pPr>
        <w:shd w:val="clear" w:color="auto" w:fill="F2F2F2" w:themeFill="background1" w:themeFillShade="F2"/>
        <w:rPr>
          <w:rFonts w:ascii="Century Gothic" w:hAnsi="Century Gothic"/>
          <w:i/>
          <w:iCs/>
        </w:rPr>
      </w:pPr>
      <w:r w:rsidRPr="005D14E4">
        <w:rPr>
          <w:rFonts w:ascii="Century Gothic" w:hAnsi="Century Gothic"/>
          <w:i/>
          <w:iCs/>
        </w:rPr>
        <w:t>•Smart meters</w:t>
      </w:r>
      <w:r w:rsidR="000D40C1">
        <w:rPr>
          <w:rFonts w:ascii="Century Gothic" w:hAnsi="Century Gothic"/>
          <w:i/>
          <w:iCs/>
        </w:rPr>
        <w:t>:</w:t>
      </w:r>
      <w:r w:rsidRPr="005D14E4">
        <w:rPr>
          <w:rFonts w:ascii="Century Gothic" w:hAnsi="Century Gothic"/>
          <w:i/>
          <w:iCs/>
        </w:rPr>
        <w:t xml:space="preserve"> Future smart grids will consist of millions of generation and consumption systems, network resources and digital measurement technology, so-called smart meters. Smart meters, in addition to sensors and other digital measuring equipment, are required to record and measure the large amounts of data from all devices and systems in the network. Information such as consumption, voltage levels, current and power factor can be collected in real time and used for various control and market purposes.  Unlike in the past, modern, intelligent measuring systems can both receive and send signals, allowing generation and consumption systems to be controlled automatically.  Smart meters save energy, increase efficiency, facilitate business processes and optimise network operation. Smart meters are so important for the energy transition because the consumption data coming from the smart </w:t>
      </w:r>
      <w:r w:rsidRPr="005D14E4">
        <w:rPr>
          <w:rFonts w:ascii="Century Gothic" w:hAnsi="Century Gothic"/>
          <w:i/>
          <w:iCs/>
        </w:rPr>
        <w:lastRenderedPageBreak/>
        <w:t>meters will unlock the potential of new business models like time</w:t>
      </w:r>
      <w:r w:rsidR="00803387">
        <w:rPr>
          <w:rFonts w:ascii="Century Gothic" w:hAnsi="Century Gothic"/>
          <w:i/>
          <w:iCs/>
        </w:rPr>
        <w:t>-</w:t>
      </w:r>
      <w:r w:rsidRPr="005D14E4">
        <w:rPr>
          <w:rFonts w:ascii="Century Gothic" w:hAnsi="Century Gothic"/>
          <w:i/>
          <w:iCs/>
        </w:rPr>
        <w:t>of</w:t>
      </w:r>
      <w:r w:rsidR="00803387">
        <w:rPr>
          <w:rFonts w:ascii="Century Gothic" w:hAnsi="Century Gothic"/>
          <w:i/>
          <w:iCs/>
        </w:rPr>
        <w:t>-</w:t>
      </w:r>
      <w:r w:rsidRPr="005D14E4">
        <w:rPr>
          <w:rFonts w:ascii="Century Gothic" w:hAnsi="Century Gothic"/>
          <w:i/>
          <w:iCs/>
        </w:rPr>
        <w:t>use tariff</w:t>
      </w:r>
      <w:r w:rsidR="00803387">
        <w:rPr>
          <w:rFonts w:ascii="Century Gothic" w:hAnsi="Century Gothic"/>
          <w:i/>
          <w:iCs/>
        </w:rPr>
        <w:t>s</w:t>
      </w:r>
      <w:r w:rsidRPr="005D14E4">
        <w:rPr>
          <w:rFonts w:ascii="Century Gothic" w:hAnsi="Century Gothic"/>
          <w:i/>
          <w:iCs/>
        </w:rPr>
        <w:t xml:space="preserve"> when your energy tariff is changing depending on the market price, or the weather condition.</w:t>
      </w:r>
    </w:p>
    <w:p w14:paraId="10A0071B" w14:textId="5826DDA5" w:rsidR="002B1635" w:rsidRPr="005D14E4" w:rsidRDefault="002B1635" w:rsidP="002B1635">
      <w:pPr>
        <w:shd w:val="clear" w:color="auto" w:fill="F2F2F2" w:themeFill="background1" w:themeFillShade="F2"/>
        <w:rPr>
          <w:rFonts w:ascii="Century Gothic" w:hAnsi="Century Gothic"/>
          <w:i/>
          <w:iCs/>
        </w:rPr>
      </w:pPr>
      <w:r w:rsidRPr="005D14E4">
        <w:rPr>
          <w:rFonts w:ascii="Century Gothic" w:hAnsi="Century Gothic"/>
          <w:i/>
          <w:iCs/>
        </w:rPr>
        <w:t>•Smart Grids</w:t>
      </w:r>
      <w:r w:rsidR="003F4C38">
        <w:rPr>
          <w:rFonts w:ascii="Century Gothic" w:hAnsi="Century Gothic"/>
          <w:i/>
          <w:iCs/>
        </w:rPr>
        <w:t>:</w:t>
      </w:r>
      <w:r w:rsidRPr="005D14E4">
        <w:rPr>
          <w:rFonts w:ascii="Century Gothic" w:hAnsi="Century Gothic"/>
          <w:i/>
          <w:iCs/>
        </w:rPr>
        <w:t xml:space="preserve"> Through Digitalisation, a series of innovative technologies are already leading the way toward tomorrow's sustainable energy system. Smart grids are an important prerequisite for the switch to renewable energy sources.  The aim of the smart grid is to create an integrated energy and information network with new structures and functionalities.  Smart grids network and control generators and storage, private and industrial consumers, and network resources in transmission and distribution networks.  A smart grid represents not only the physical connection of these units, but also an Energy Information Network that absorbs, transmits and processes digital information extremely securely and very quickly. All information is managed in the control centre of the smart grid and generation, storage, and consumption are optimally coordinated.  </w:t>
      </w:r>
    </w:p>
    <w:p w14:paraId="5AD2E79C" w14:textId="4FEF1256" w:rsidR="002B1635" w:rsidRPr="005D14E4" w:rsidRDefault="002B1635" w:rsidP="002B1635">
      <w:pPr>
        <w:shd w:val="clear" w:color="auto" w:fill="F2F2F2" w:themeFill="background1" w:themeFillShade="F2"/>
        <w:rPr>
          <w:rFonts w:ascii="Century Gothic" w:hAnsi="Century Gothic" w:cs="Segoe UI Emoji"/>
          <w:i/>
          <w:iCs/>
        </w:rPr>
      </w:pPr>
      <w:r w:rsidRPr="005D14E4">
        <w:rPr>
          <w:rFonts w:ascii="Century Gothic" w:hAnsi="Century Gothic"/>
          <w:i/>
          <w:iCs/>
        </w:rPr>
        <w:t>•Smart grids and virtual power plants are linked because a smart grid provides the infrastructure and communication networks needed to enable the operation of virtual power plants</w:t>
      </w:r>
      <w:r w:rsidR="005B6BB7">
        <w:rPr>
          <w:rFonts w:ascii="Century Gothic" w:hAnsi="Century Gothic"/>
          <w:i/>
          <w:iCs/>
        </w:rPr>
        <w:t xml:space="preserve"> (VPP)</w:t>
      </w:r>
      <w:r w:rsidRPr="005D14E4">
        <w:rPr>
          <w:rFonts w:ascii="Century Gothic" w:hAnsi="Century Gothic"/>
          <w:i/>
          <w:iCs/>
        </w:rPr>
        <w:t>. In a smart grid, distributed energy resources can be monitored and controlled in real-time, which enables the integration of VPPs into the grid. A VPP can also provide grid services that support the operation of a smart grid, such as frequency regulation and voltage control.</w:t>
      </w:r>
      <w:r w:rsidR="000A500C">
        <w:rPr>
          <w:rFonts w:ascii="Century Gothic" w:hAnsi="Century Gothic"/>
          <w:i/>
          <w:iCs/>
        </w:rPr>
        <w:t xml:space="preserve"> </w:t>
      </w:r>
      <w:r w:rsidRPr="005D14E4">
        <w:rPr>
          <w:rFonts w:ascii="Century Gothic" w:hAnsi="Century Gothic"/>
          <w:i/>
          <w:iCs/>
        </w:rPr>
        <w:t>VPPs: Another technology made possible through Digitalisation is the virtual powerplant.  VPPs combine decentralised producers, storage facilities and consumers to form a network which can be controlled and managed as a single unit. The advantage is that the energy generation of a virtual power plant does not fluctuate as much as that of a single generator such as a wind farm. As a result, the VPP can help stabilise the grid and the aggregated amount of electricity becomes more valuable in the energy market. As Digitalisation of the energy sector further progresses, other exciting and innovative applications of information technology and concepts will become possible.</w:t>
      </w:r>
    </w:p>
    <w:p w14:paraId="680C2F06" w14:textId="77777777" w:rsidR="002B1635" w:rsidRDefault="002B1635" w:rsidP="002B1635">
      <w:pPr>
        <w:rPr>
          <w:rFonts w:ascii="Century Gothic" w:hAnsi="Century Gothic"/>
          <w:b/>
          <w:bCs/>
          <w:u w:val="single"/>
        </w:rPr>
      </w:pPr>
      <w:r w:rsidRPr="00FE49F7">
        <w:rPr>
          <w:rFonts w:ascii="Segoe UI Emoji" w:hAnsi="Segoe UI Emoji" w:cs="Segoe UI Emoji"/>
          <w:b/>
          <w:bCs/>
          <w:u w:val="single"/>
        </w:rPr>
        <w:t>💡</w:t>
      </w:r>
      <w:r w:rsidRPr="00FE49F7">
        <w:rPr>
          <w:rFonts w:ascii="Century Gothic" w:hAnsi="Century Gothic"/>
          <w:b/>
          <w:bCs/>
          <w:u w:val="single"/>
        </w:rPr>
        <w:t xml:space="preserve">Illustrative example </w:t>
      </w:r>
    </w:p>
    <w:p w14:paraId="3674F3D7" w14:textId="4306FC10" w:rsidR="002B1635" w:rsidRPr="00166A8C" w:rsidRDefault="002B1635" w:rsidP="002B1635">
      <w:pPr>
        <w:rPr>
          <w:rFonts w:ascii="Century Gothic" w:hAnsi="Century Gothic"/>
        </w:rPr>
      </w:pPr>
      <w:r w:rsidRPr="00166A8C">
        <w:rPr>
          <w:rFonts w:ascii="Century Gothic" w:hAnsi="Century Gothic"/>
        </w:rPr>
        <w:t xml:space="preserve">Below explains the </w:t>
      </w:r>
      <w:r>
        <w:rPr>
          <w:rFonts w:ascii="Century Gothic" w:hAnsi="Century Gothic"/>
        </w:rPr>
        <w:t xml:space="preserve">proposal and </w:t>
      </w:r>
      <w:r w:rsidRPr="00166A8C">
        <w:rPr>
          <w:rFonts w:ascii="Century Gothic" w:hAnsi="Century Gothic"/>
        </w:rPr>
        <w:t xml:space="preserve">approach of some of the key initial systems </w:t>
      </w:r>
      <w:r w:rsidR="00F356F7">
        <w:rPr>
          <w:rFonts w:ascii="Century Gothic" w:hAnsi="Century Gothic"/>
        </w:rPr>
        <w:t xml:space="preserve">that </w:t>
      </w:r>
      <w:r w:rsidRPr="00166A8C">
        <w:rPr>
          <w:rFonts w:ascii="Century Gothic" w:hAnsi="Century Gothic"/>
        </w:rPr>
        <w:t>m</w:t>
      </w:r>
      <w:r w:rsidR="00F356F7">
        <w:rPr>
          <w:rFonts w:ascii="Century Gothic" w:hAnsi="Century Gothic"/>
        </w:rPr>
        <w:t>a</w:t>
      </w:r>
      <w:r w:rsidRPr="00166A8C">
        <w:rPr>
          <w:rFonts w:ascii="Century Gothic" w:hAnsi="Century Gothic"/>
        </w:rPr>
        <w:t>y need to be established</w:t>
      </w:r>
      <w:r>
        <w:rPr>
          <w:rFonts w:ascii="Century Gothic" w:hAnsi="Century Gothic"/>
        </w:rPr>
        <w:t xml:space="preserve"> to enable third party wheeling.</w:t>
      </w:r>
    </w:p>
    <w:p w14:paraId="3FBB3FD8" w14:textId="77777777" w:rsidR="002B1635" w:rsidRPr="00F92170" w:rsidRDefault="002B1635" w:rsidP="002B1635">
      <w:pPr>
        <w:pStyle w:val="BodyText"/>
        <w:spacing w:before="120" w:after="120" w:line="240" w:lineRule="auto"/>
        <w:rPr>
          <w:rFonts w:ascii="Century Gothic" w:eastAsia="Arial" w:hAnsi="Century Gothic" w:cs="Arial"/>
          <w:color w:val="000000"/>
          <w:lang w:eastAsia="en-ZA"/>
        </w:rPr>
      </w:pPr>
      <w:r w:rsidRPr="00F92170">
        <w:rPr>
          <w:rFonts w:ascii="Century Gothic" w:eastAsia="Arial" w:hAnsi="Century Gothic" w:cs="Arial"/>
          <w:color w:val="000000"/>
          <w:lang w:eastAsia="en-ZA"/>
        </w:rPr>
        <w:t>Implement an automated tracking system:</w:t>
      </w:r>
    </w:p>
    <w:p w14:paraId="0D8D18EA" w14:textId="3D167524" w:rsidR="002B1635" w:rsidRPr="00F92170" w:rsidRDefault="002B1635" w:rsidP="00871EE8">
      <w:pPr>
        <w:pStyle w:val="BodyText"/>
        <w:numPr>
          <w:ilvl w:val="0"/>
          <w:numId w:val="37"/>
        </w:numPr>
        <w:spacing w:before="120" w:after="120" w:line="240" w:lineRule="auto"/>
        <w:rPr>
          <w:rFonts w:ascii="Century Gothic" w:eastAsia="Arial" w:hAnsi="Century Gothic" w:cs="Arial"/>
          <w:color w:val="000000"/>
          <w:lang w:eastAsia="en-ZA"/>
        </w:rPr>
      </w:pPr>
      <w:r w:rsidRPr="00300AC1">
        <w:rPr>
          <w:rFonts w:ascii="Century Gothic" w:eastAsia="Arial" w:hAnsi="Century Gothic" w:cs="Arial"/>
          <w:b/>
          <w:bCs/>
          <w:color w:val="000000"/>
          <w:lang w:eastAsia="en-ZA"/>
        </w:rPr>
        <w:t>Determine system requirements:</w:t>
      </w:r>
      <w:r w:rsidRPr="00F92170">
        <w:rPr>
          <w:rFonts w:ascii="Century Gothic" w:eastAsia="Arial" w:hAnsi="Century Gothic" w:cs="Arial"/>
          <w:color w:val="000000"/>
          <w:lang w:eastAsia="en-ZA"/>
        </w:rPr>
        <w:t xml:space="preserve"> Identify the key features and functionalities required in the automated </w:t>
      </w:r>
      <w:r w:rsidR="00D1119C">
        <w:rPr>
          <w:rFonts w:ascii="Century Gothic" w:eastAsia="Arial" w:hAnsi="Century Gothic" w:cs="Arial"/>
          <w:color w:val="000000"/>
          <w:lang w:eastAsia="en-ZA"/>
        </w:rPr>
        <w:t xml:space="preserve">application </w:t>
      </w:r>
      <w:r w:rsidRPr="00F92170">
        <w:rPr>
          <w:rFonts w:ascii="Century Gothic" w:eastAsia="Arial" w:hAnsi="Century Gothic" w:cs="Arial"/>
          <w:color w:val="000000"/>
          <w:lang w:eastAsia="en-ZA"/>
        </w:rPr>
        <w:t>tracking system, such as application submission, milestone tracking, notification system, and reporting capabilities.</w:t>
      </w:r>
    </w:p>
    <w:p w14:paraId="79017B82" w14:textId="77777777" w:rsidR="002B1635" w:rsidRPr="00F92170" w:rsidRDefault="002B1635" w:rsidP="00871EE8">
      <w:pPr>
        <w:pStyle w:val="BodyText"/>
        <w:numPr>
          <w:ilvl w:val="0"/>
          <w:numId w:val="37"/>
        </w:numPr>
        <w:spacing w:before="120" w:after="120" w:line="240" w:lineRule="auto"/>
        <w:rPr>
          <w:rFonts w:ascii="Century Gothic" w:eastAsia="Arial" w:hAnsi="Century Gothic" w:cs="Arial"/>
          <w:color w:val="000000"/>
          <w:lang w:eastAsia="en-ZA"/>
        </w:rPr>
      </w:pPr>
      <w:r w:rsidRPr="00300AC1">
        <w:rPr>
          <w:rFonts w:ascii="Century Gothic" w:eastAsia="Arial" w:hAnsi="Century Gothic" w:cs="Arial"/>
          <w:b/>
          <w:bCs/>
          <w:color w:val="000000"/>
          <w:lang w:eastAsia="en-ZA"/>
        </w:rPr>
        <w:t>Conduct market research</w:t>
      </w:r>
      <w:r w:rsidRPr="00F92170">
        <w:rPr>
          <w:rFonts w:ascii="Century Gothic" w:eastAsia="Arial" w:hAnsi="Century Gothic" w:cs="Arial"/>
          <w:color w:val="000000"/>
          <w:lang w:eastAsia="en-ZA"/>
        </w:rPr>
        <w:t>: Explore available software solutions or develop a custom system based on the Municipality's specific needs. Evaluate vendors, compare functionalities, and consider factors like scalability, user-friendliness, and integration capabilities.</w:t>
      </w:r>
    </w:p>
    <w:p w14:paraId="48EC1466" w14:textId="77777777" w:rsidR="002B1635" w:rsidRPr="00405673" w:rsidRDefault="002B1635" w:rsidP="00871EE8">
      <w:pPr>
        <w:pStyle w:val="BodyText"/>
        <w:numPr>
          <w:ilvl w:val="0"/>
          <w:numId w:val="37"/>
        </w:numPr>
        <w:spacing w:before="120" w:after="120" w:line="240" w:lineRule="auto"/>
        <w:rPr>
          <w:rFonts w:ascii="Century Gothic" w:eastAsia="Arial" w:hAnsi="Century Gothic" w:cs="Arial"/>
          <w:color w:val="000000"/>
          <w:lang w:eastAsia="en-ZA"/>
        </w:rPr>
      </w:pPr>
      <w:r w:rsidRPr="00300AC1">
        <w:rPr>
          <w:rFonts w:ascii="Century Gothic" w:eastAsia="Arial" w:hAnsi="Century Gothic" w:cs="Arial"/>
          <w:b/>
          <w:bCs/>
          <w:color w:val="000000"/>
          <w:lang w:eastAsia="en-ZA"/>
        </w:rPr>
        <w:t>Procure and customize the system:</w:t>
      </w:r>
      <w:r w:rsidRPr="00F92170">
        <w:rPr>
          <w:rFonts w:ascii="Century Gothic" w:eastAsia="Arial" w:hAnsi="Century Gothic" w:cs="Arial"/>
          <w:color w:val="000000"/>
          <w:lang w:eastAsia="en-ZA"/>
        </w:rPr>
        <w:t xml:space="preserve"> Once a suitable solution is identified, initiate the procurement process. Collaborate with the selected vendor to customize the system </w:t>
      </w:r>
      <w:r w:rsidRPr="00405673">
        <w:rPr>
          <w:rFonts w:ascii="Century Gothic" w:eastAsia="Arial" w:hAnsi="Century Gothic" w:cs="Arial"/>
          <w:color w:val="000000"/>
          <w:lang w:eastAsia="en-ZA"/>
        </w:rPr>
        <w:t>to align with the Municipality's requirements. Ensure proper data security measures and compliance with relevant regulations.</w:t>
      </w:r>
    </w:p>
    <w:p w14:paraId="23D775BB" w14:textId="77777777" w:rsidR="002B1635" w:rsidRPr="00300AC1" w:rsidRDefault="002B1635" w:rsidP="00871EE8">
      <w:pPr>
        <w:pStyle w:val="BodyText"/>
        <w:numPr>
          <w:ilvl w:val="0"/>
          <w:numId w:val="37"/>
        </w:numPr>
        <w:spacing w:before="120" w:after="120" w:line="240" w:lineRule="auto"/>
        <w:rPr>
          <w:rFonts w:ascii="Century Gothic" w:eastAsia="Arial" w:hAnsi="Century Gothic" w:cs="Arial"/>
          <w:color w:val="000000"/>
          <w:lang w:eastAsia="en-ZA"/>
        </w:rPr>
      </w:pPr>
      <w:r w:rsidRPr="00300AC1">
        <w:rPr>
          <w:rFonts w:ascii="Century Gothic" w:eastAsia="Arial" w:hAnsi="Century Gothic" w:cs="Arial"/>
          <w:b/>
          <w:bCs/>
          <w:color w:val="000000"/>
          <w:lang w:eastAsia="en-ZA"/>
        </w:rPr>
        <w:t>Test and train:</w:t>
      </w:r>
      <w:r w:rsidRPr="00405673">
        <w:rPr>
          <w:rFonts w:ascii="Century Gothic" w:eastAsia="Arial" w:hAnsi="Century Gothic" w:cs="Arial"/>
          <w:color w:val="000000"/>
          <w:lang w:eastAsia="en-ZA"/>
        </w:rPr>
        <w:t xml:space="preserve"> Perform thorough testing to verify the system's functionality and ensure it meets the desired objectives. Train relevant staff members on how to use the system effectively.</w:t>
      </w:r>
    </w:p>
    <w:p w14:paraId="1BCC5742" w14:textId="77777777" w:rsidR="002B1635" w:rsidRPr="004E5CD9" w:rsidRDefault="002B1635" w:rsidP="002B1635">
      <w:pPr>
        <w:pStyle w:val="BodyText"/>
        <w:spacing w:before="120" w:after="120" w:line="240" w:lineRule="auto"/>
        <w:rPr>
          <w:rFonts w:ascii="Century Gothic" w:eastAsia="Arial" w:hAnsi="Century Gothic" w:cs="Arial"/>
          <w:color w:val="000000"/>
          <w:lang w:eastAsia="en-ZA"/>
        </w:rPr>
      </w:pPr>
      <w:r w:rsidRPr="004E5CD9">
        <w:rPr>
          <w:rFonts w:ascii="Century Gothic" w:eastAsia="Arial" w:hAnsi="Century Gothic" w:cs="Arial"/>
          <w:color w:val="000000"/>
          <w:lang w:eastAsia="en-ZA"/>
        </w:rPr>
        <w:t>Implement a document management system:</w:t>
      </w:r>
    </w:p>
    <w:p w14:paraId="093C4E08" w14:textId="77777777" w:rsidR="002B1635" w:rsidRPr="004E5CD9" w:rsidRDefault="002B1635" w:rsidP="00871EE8">
      <w:pPr>
        <w:pStyle w:val="BodyText"/>
        <w:numPr>
          <w:ilvl w:val="0"/>
          <w:numId w:val="38"/>
        </w:numPr>
        <w:spacing w:before="120" w:after="120" w:line="240" w:lineRule="auto"/>
        <w:rPr>
          <w:rFonts w:ascii="Century Gothic" w:eastAsia="Arial" w:hAnsi="Century Gothic" w:cs="Arial"/>
          <w:color w:val="000000"/>
          <w:lang w:eastAsia="en-ZA"/>
        </w:rPr>
      </w:pPr>
      <w:r w:rsidRPr="00300AC1">
        <w:rPr>
          <w:rFonts w:ascii="Century Gothic" w:eastAsia="Arial" w:hAnsi="Century Gothic" w:cs="Arial"/>
          <w:b/>
          <w:bCs/>
          <w:color w:val="000000"/>
          <w:lang w:eastAsia="en-ZA"/>
        </w:rPr>
        <w:t>Identify document management requirements</w:t>
      </w:r>
      <w:r w:rsidRPr="004E5CD9">
        <w:rPr>
          <w:rFonts w:ascii="Century Gothic" w:eastAsia="Arial" w:hAnsi="Century Gothic" w:cs="Arial"/>
          <w:color w:val="000000"/>
          <w:lang w:eastAsia="en-ZA"/>
        </w:rPr>
        <w:t>: Determine the Municipality's specific document management needs, including contract and approval workflows, version control, document storage, and access control.</w:t>
      </w:r>
    </w:p>
    <w:p w14:paraId="698A2E38" w14:textId="77777777" w:rsidR="002B1635" w:rsidRPr="004E5CD9" w:rsidRDefault="002B1635" w:rsidP="00871EE8">
      <w:pPr>
        <w:pStyle w:val="BodyText"/>
        <w:numPr>
          <w:ilvl w:val="0"/>
          <w:numId w:val="38"/>
        </w:numPr>
        <w:spacing w:before="120" w:after="120" w:line="240" w:lineRule="auto"/>
        <w:rPr>
          <w:rFonts w:ascii="Century Gothic" w:eastAsia="Arial" w:hAnsi="Century Gothic" w:cs="Arial"/>
          <w:color w:val="000000"/>
          <w:lang w:eastAsia="en-ZA"/>
        </w:rPr>
      </w:pPr>
      <w:r w:rsidRPr="00300AC1">
        <w:rPr>
          <w:rFonts w:ascii="Century Gothic" w:eastAsia="Arial" w:hAnsi="Century Gothic" w:cs="Arial"/>
          <w:b/>
          <w:bCs/>
          <w:color w:val="000000"/>
          <w:lang w:eastAsia="en-ZA"/>
        </w:rPr>
        <w:lastRenderedPageBreak/>
        <w:t>Evaluate document management solutions:</w:t>
      </w:r>
      <w:r w:rsidRPr="004E5CD9">
        <w:rPr>
          <w:rFonts w:ascii="Century Gothic" w:eastAsia="Arial" w:hAnsi="Century Gothic" w:cs="Arial"/>
          <w:color w:val="000000"/>
          <w:lang w:eastAsia="en-ZA"/>
        </w:rPr>
        <w:t xml:space="preserve"> Research and evaluate document management systems available in the market. Consider factors like ease of use, scalability, security features, integration capabilities, and cost.</w:t>
      </w:r>
    </w:p>
    <w:p w14:paraId="751C05B7" w14:textId="77777777" w:rsidR="002B1635" w:rsidRPr="004E5CD9" w:rsidRDefault="002B1635" w:rsidP="00871EE8">
      <w:pPr>
        <w:pStyle w:val="BodyText"/>
        <w:numPr>
          <w:ilvl w:val="0"/>
          <w:numId w:val="38"/>
        </w:numPr>
        <w:spacing w:before="120" w:after="120" w:line="240" w:lineRule="auto"/>
        <w:rPr>
          <w:rFonts w:ascii="Century Gothic" w:eastAsia="Arial" w:hAnsi="Century Gothic" w:cs="Arial"/>
          <w:color w:val="000000"/>
          <w:lang w:eastAsia="en-ZA"/>
        </w:rPr>
      </w:pPr>
      <w:r w:rsidRPr="00300AC1">
        <w:rPr>
          <w:rFonts w:ascii="Century Gothic" w:eastAsia="Arial" w:hAnsi="Century Gothic" w:cs="Arial"/>
          <w:b/>
          <w:bCs/>
          <w:color w:val="000000"/>
          <w:lang w:eastAsia="en-ZA"/>
        </w:rPr>
        <w:t>Procure and customize the system:</w:t>
      </w:r>
      <w:r w:rsidRPr="004E5CD9">
        <w:rPr>
          <w:rFonts w:ascii="Century Gothic" w:eastAsia="Arial" w:hAnsi="Century Gothic" w:cs="Arial"/>
          <w:color w:val="000000"/>
          <w:lang w:eastAsia="en-ZA"/>
        </w:rPr>
        <w:t xml:space="preserve"> Once a suitable solution is chosen, initiate the procurement process and collaborate with the vendor to customize the system according to the Municipality's requirements. Ensure proper data security measures and compliance with relevant regulations.</w:t>
      </w:r>
    </w:p>
    <w:p w14:paraId="4F14227C" w14:textId="77777777" w:rsidR="002B1635" w:rsidRPr="004E5CD9" w:rsidRDefault="002B1635" w:rsidP="00871EE8">
      <w:pPr>
        <w:pStyle w:val="BodyText"/>
        <w:numPr>
          <w:ilvl w:val="0"/>
          <w:numId w:val="38"/>
        </w:numPr>
        <w:spacing w:before="120" w:after="120" w:line="240" w:lineRule="auto"/>
        <w:rPr>
          <w:rFonts w:ascii="Century Gothic" w:eastAsia="Arial" w:hAnsi="Century Gothic" w:cs="Arial"/>
          <w:color w:val="000000"/>
          <w:lang w:eastAsia="en-ZA"/>
        </w:rPr>
      </w:pPr>
      <w:r w:rsidRPr="00300AC1">
        <w:rPr>
          <w:rFonts w:ascii="Century Gothic" w:eastAsia="Arial" w:hAnsi="Century Gothic" w:cs="Arial"/>
          <w:b/>
          <w:bCs/>
          <w:color w:val="000000"/>
          <w:lang w:eastAsia="en-ZA"/>
        </w:rPr>
        <w:t>Establish workflows and processes:</w:t>
      </w:r>
      <w:r w:rsidRPr="004E5CD9">
        <w:rPr>
          <w:rFonts w:ascii="Century Gothic" w:eastAsia="Arial" w:hAnsi="Century Gothic" w:cs="Arial"/>
          <w:color w:val="000000"/>
          <w:lang w:eastAsia="en-ZA"/>
        </w:rPr>
        <w:t xml:space="preserve"> Design workflows and processes within the document management system to streamline the movement of contracts and approvals. Define user roles, access controls, and approval hierarchies.</w:t>
      </w:r>
    </w:p>
    <w:p w14:paraId="527BC331" w14:textId="77777777" w:rsidR="002B1635" w:rsidRPr="004E5CD9" w:rsidRDefault="002B1635" w:rsidP="00871EE8">
      <w:pPr>
        <w:pStyle w:val="BodyText"/>
        <w:numPr>
          <w:ilvl w:val="0"/>
          <w:numId w:val="38"/>
        </w:numPr>
        <w:spacing w:before="120" w:after="120" w:line="240" w:lineRule="auto"/>
        <w:rPr>
          <w:rFonts w:ascii="Century Gothic" w:eastAsia="Arial" w:hAnsi="Century Gothic" w:cs="Arial"/>
          <w:color w:val="000000"/>
          <w:lang w:eastAsia="en-ZA"/>
        </w:rPr>
      </w:pPr>
      <w:r w:rsidRPr="00300AC1">
        <w:rPr>
          <w:rFonts w:ascii="Century Gothic" w:eastAsia="Arial" w:hAnsi="Century Gothic" w:cs="Arial"/>
          <w:b/>
          <w:bCs/>
          <w:color w:val="000000"/>
          <w:lang w:eastAsia="en-ZA"/>
        </w:rPr>
        <w:t>Train and educate users</w:t>
      </w:r>
      <w:r w:rsidRPr="004E5CD9">
        <w:rPr>
          <w:rFonts w:ascii="Century Gothic" w:eastAsia="Arial" w:hAnsi="Century Gothic" w:cs="Arial"/>
          <w:color w:val="000000"/>
          <w:lang w:eastAsia="en-ZA"/>
        </w:rPr>
        <w:t>: Provide comprehensive training to staff members who will use the document management system. Educate them on best practices for document handling, version control, and compliance requirements.</w:t>
      </w:r>
    </w:p>
    <w:p w14:paraId="70FC07F6" w14:textId="77777777" w:rsidR="002B1635" w:rsidRPr="004E5CD9" w:rsidRDefault="002B1635" w:rsidP="002B1635">
      <w:pPr>
        <w:pStyle w:val="BodyText"/>
        <w:spacing w:before="120" w:after="120" w:line="240" w:lineRule="auto"/>
        <w:rPr>
          <w:rFonts w:ascii="Century Gothic" w:eastAsia="Arial" w:hAnsi="Century Gothic" w:cs="Arial"/>
          <w:color w:val="000000"/>
          <w:lang w:eastAsia="en-ZA"/>
        </w:rPr>
      </w:pPr>
      <w:r w:rsidRPr="004E5CD9">
        <w:rPr>
          <w:rFonts w:ascii="Century Gothic" w:eastAsia="Arial" w:hAnsi="Century Gothic" w:cs="Arial"/>
          <w:color w:val="000000"/>
          <w:lang w:eastAsia="en-ZA"/>
        </w:rPr>
        <w:t>Update billing system:</w:t>
      </w:r>
    </w:p>
    <w:p w14:paraId="0FCA6E6B" w14:textId="77777777" w:rsidR="002B1635" w:rsidRPr="00300AC1" w:rsidRDefault="002B1635" w:rsidP="00871EE8">
      <w:pPr>
        <w:pStyle w:val="BodyText"/>
        <w:numPr>
          <w:ilvl w:val="0"/>
          <w:numId w:val="39"/>
        </w:numPr>
        <w:spacing w:before="120" w:after="120" w:line="240" w:lineRule="auto"/>
        <w:rPr>
          <w:rFonts w:ascii="Century Gothic" w:eastAsia="Arial" w:hAnsi="Century Gothic" w:cs="Arial"/>
          <w:color w:val="000000"/>
          <w:lang w:eastAsia="en-ZA"/>
        </w:rPr>
      </w:pPr>
      <w:r w:rsidRPr="00300AC1">
        <w:rPr>
          <w:rFonts w:ascii="Century Gothic" w:eastAsia="Arial" w:hAnsi="Century Gothic" w:cs="Arial"/>
          <w:b/>
          <w:bCs/>
          <w:color w:val="000000"/>
          <w:lang w:eastAsia="en-ZA"/>
        </w:rPr>
        <w:t>Assess current billing system capabilities:</w:t>
      </w:r>
      <w:r w:rsidRPr="00300AC1">
        <w:rPr>
          <w:rFonts w:ascii="Century Gothic" w:eastAsia="Arial" w:hAnsi="Century Gothic" w:cs="Arial"/>
          <w:color w:val="000000"/>
          <w:lang w:eastAsia="en-ZA"/>
        </w:rPr>
        <w:t xml:space="preserve"> Evaluate the existing billing system to identify gaps and limitations in handling third-party wheeling transactions. Determine the modifications required to accommodate the new billing requirements.</w:t>
      </w:r>
    </w:p>
    <w:p w14:paraId="63FAB0B2" w14:textId="77777777" w:rsidR="002B1635" w:rsidRPr="00300AC1" w:rsidRDefault="002B1635" w:rsidP="00871EE8">
      <w:pPr>
        <w:pStyle w:val="BodyText"/>
        <w:numPr>
          <w:ilvl w:val="0"/>
          <w:numId w:val="39"/>
        </w:numPr>
        <w:spacing w:before="120" w:after="120" w:line="240" w:lineRule="auto"/>
        <w:rPr>
          <w:rFonts w:ascii="Century Gothic" w:eastAsia="Arial" w:hAnsi="Century Gothic" w:cs="Arial"/>
          <w:color w:val="000000"/>
          <w:lang w:eastAsia="en-ZA"/>
        </w:rPr>
      </w:pPr>
      <w:r w:rsidRPr="00300AC1">
        <w:rPr>
          <w:rFonts w:ascii="Century Gothic" w:eastAsia="Arial" w:hAnsi="Century Gothic" w:cs="Arial"/>
          <w:b/>
          <w:bCs/>
          <w:color w:val="000000"/>
          <w:lang w:eastAsia="en-ZA"/>
        </w:rPr>
        <w:t>Engage with software developers or vendors</w:t>
      </w:r>
      <w:r w:rsidRPr="00300AC1">
        <w:rPr>
          <w:rFonts w:ascii="Century Gothic" w:eastAsia="Arial" w:hAnsi="Century Gothic" w:cs="Arial"/>
          <w:color w:val="000000"/>
          <w:lang w:eastAsia="en-ZA"/>
        </w:rPr>
        <w:t>: Collaborate with software developers or vendors to make the necessary updates to the billing system. Clearly communicate the specific requirements related to third-party wheeling charges, energy consumption fees, and other financial obligations.</w:t>
      </w:r>
    </w:p>
    <w:p w14:paraId="235994DA" w14:textId="77777777" w:rsidR="002B1635" w:rsidRPr="00300AC1" w:rsidRDefault="002B1635" w:rsidP="00871EE8">
      <w:pPr>
        <w:pStyle w:val="BodyText"/>
        <w:numPr>
          <w:ilvl w:val="0"/>
          <w:numId w:val="39"/>
        </w:numPr>
        <w:spacing w:before="120" w:after="120" w:line="240" w:lineRule="auto"/>
        <w:rPr>
          <w:rFonts w:ascii="Century Gothic" w:eastAsia="Arial" w:hAnsi="Century Gothic" w:cs="Arial"/>
          <w:color w:val="000000"/>
          <w:lang w:eastAsia="en-ZA"/>
        </w:rPr>
      </w:pPr>
      <w:r w:rsidRPr="00300AC1">
        <w:rPr>
          <w:rFonts w:ascii="Century Gothic" w:eastAsia="Arial" w:hAnsi="Century Gothic" w:cs="Arial"/>
          <w:b/>
          <w:bCs/>
          <w:color w:val="000000"/>
          <w:lang w:eastAsia="en-ZA"/>
        </w:rPr>
        <w:t xml:space="preserve">Test and validate: </w:t>
      </w:r>
      <w:r w:rsidRPr="00300AC1">
        <w:rPr>
          <w:rFonts w:ascii="Century Gothic" w:eastAsia="Arial" w:hAnsi="Century Gothic" w:cs="Arial"/>
          <w:color w:val="000000"/>
          <w:lang w:eastAsia="en-ZA"/>
        </w:rPr>
        <w:t>Conduct rigorous testing to ensure accurate calculations, proper integration with other systems, and adherence to regulatory guidelines. Validate the updated billing system's functionality and accuracy.</w:t>
      </w:r>
    </w:p>
    <w:p w14:paraId="3EB03029" w14:textId="77777777" w:rsidR="002B1635" w:rsidRPr="00300AC1" w:rsidRDefault="002B1635" w:rsidP="00871EE8">
      <w:pPr>
        <w:pStyle w:val="BodyText"/>
        <w:numPr>
          <w:ilvl w:val="0"/>
          <w:numId w:val="39"/>
        </w:numPr>
        <w:spacing w:before="120" w:after="120" w:line="240" w:lineRule="auto"/>
        <w:rPr>
          <w:rFonts w:ascii="Century Gothic" w:eastAsia="Arial" w:hAnsi="Century Gothic" w:cs="Arial"/>
          <w:color w:val="000000"/>
          <w:lang w:eastAsia="en-ZA"/>
        </w:rPr>
      </w:pPr>
      <w:r w:rsidRPr="00300AC1">
        <w:rPr>
          <w:rFonts w:ascii="Century Gothic" w:eastAsia="Arial" w:hAnsi="Century Gothic" w:cs="Arial"/>
          <w:b/>
          <w:bCs/>
          <w:color w:val="000000"/>
          <w:lang w:eastAsia="en-ZA"/>
        </w:rPr>
        <w:t>Communicate changes:</w:t>
      </w:r>
      <w:r w:rsidRPr="00300AC1">
        <w:rPr>
          <w:rFonts w:ascii="Century Gothic" w:eastAsia="Arial" w:hAnsi="Century Gothic" w:cs="Arial"/>
          <w:color w:val="000000"/>
          <w:lang w:eastAsia="en-ZA"/>
        </w:rPr>
        <w:t xml:space="preserve"> Inform customers, potential traders, and other stakeholders about the changes in the billing system. Provide clear instructions on how billing for third-party wheeling transactions will be handled.</w:t>
      </w:r>
    </w:p>
    <w:p w14:paraId="08345AE2" w14:textId="77777777" w:rsidR="002B1635" w:rsidRPr="00300AC1" w:rsidRDefault="002B1635" w:rsidP="00871EE8">
      <w:pPr>
        <w:pStyle w:val="BodyText"/>
        <w:numPr>
          <w:ilvl w:val="0"/>
          <w:numId w:val="39"/>
        </w:numPr>
        <w:spacing w:before="120" w:after="120" w:line="240" w:lineRule="auto"/>
        <w:rPr>
          <w:rFonts w:ascii="Century Gothic" w:eastAsia="Arial" w:hAnsi="Century Gothic" w:cs="Arial"/>
          <w:color w:val="000000"/>
          <w:lang w:eastAsia="en-ZA"/>
        </w:rPr>
      </w:pPr>
      <w:r w:rsidRPr="00300AC1">
        <w:rPr>
          <w:rFonts w:ascii="Century Gothic" w:eastAsia="Arial" w:hAnsi="Century Gothic" w:cs="Arial"/>
          <w:b/>
          <w:bCs/>
          <w:color w:val="000000"/>
          <w:lang w:eastAsia="en-ZA"/>
        </w:rPr>
        <w:t xml:space="preserve">Monitor and refine: </w:t>
      </w:r>
      <w:r w:rsidRPr="00300AC1">
        <w:rPr>
          <w:rFonts w:ascii="Century Gothic" w:eastAsia="Arial" w:hAnsi="Century Gothic" w:cs="Arial"/>
          <w:color w:val="000000"/>
          <w:lang w:eastAsia="en-ZA"/>
        </w:rPr>
        <w:t>Continuously monitor the updated billing system's performance and address any issues or discrepancies promptly. Refine the system as needed to improve accuracy and efficiency.</w:t>
      </w:r>
    </w:p>
    <w:p w14:paraId="20622EB0" w14:textId="174BF84D" w:rsidR="003D5A75" w:rsidRPr="003D5A75" w:rsidRDefault="002B1635" w:rsidP="00831A39">
      <w:pPr>
        <w:pStyle w:val="BodyText"/>
        <w:spacing w:before="120" w:after="120" w:line="240" w:lineRule="auto"/>
        <w:rPr>
          <w:rFonts w:ascii="Century Gothic" w:eastAsia="Times New Roman" w:hAnsi="Century Gothic" w:cs="Segoe UI"/>
        </w:rPr>
      </w:pPr>
      <w:r w:rsidRPr="00166A8C">
        <w:rPr>
          <w:rFonts w:ascii="Century Gothic" w:eastAsia="Arial" w:hAnsi="Century Gothic" w:cs="Arial"/>
          <w:color w:val="000000"/>
          <w:lang w:eastAsia="en-ZA"/>
        </w:rPr>
        <w:t>Smart metering system</w:t>
      </w:r>
      <w:r>
        <w:rPr>
          <w:rFonts w:ascii="Century Gothic" w:eastAsia="Arial" w:hAnsi="Century Gothic" w:cs="Arial"/>
          <w:color w:val="000000"/>
          <w:lang w:eastAsia="en-ZA"/>
        </w:rPr>
        <w:t>s:</w:t>
      </w:r>
      <w:r w:rsidR="009B7DD6">
        <w:rPr>
          <w:rFonts w:ascii="Century Gothic" w:eastAsia="Arial" w:hAnsi="Century Gothic" w:cs="Arial"/>
          <w:color w:val="000000"/>
          <w:lang w:eastAsia="en-ZA"/>
        </w:rPr>
        <w:t xml:space="preserve"> </w:t>
      </w:r>
      <w:r w:rsidR="00720FCD">
        <w:rPr>
          <w:rFonts w:ascii="Century Gothic" w:eastAsia="Times New Roman" w:hAnsi="Century Gothic" w:cs="Segoe UI"/>
        </w:rPr>
        <w:t>T</w:t>
      </w:r>
      <w:r w:rsidR="003D5A75" w:rsidRPr="003D5A75">
        <w:rPr>
          <w:rFonts w:ascii="Century Gothic" w:eastAsia="Times New Roman" w:hAnsi="Century Gothic" w:cs="Segoe UI"/>
        </w:rPr>
        <w:t>here are two options for establishing electricity smart metering systems to facilitate wheeling transactions:</w:t>
      </w:r>
      <w:r w:rsidR="00232289">
        <w:rPr>
          <w:rFonts w:ascii="Century Gothic" w:eastAsia="Times New Roman" w:hAnsi="Century Gothic" w:cs="Segoe UI"/>
        </w:rPr>
        <w:t xml:space="preserve"> (refer to Annexure C for detailed requirements on smart metering system</w:t>
      </w:r>
      <w:r w:rsidR="00A0514C">
        <w:rPr>
          <w:rFonts w:ascii="Century Gothic" w:eastAsia="Times New Roman" w:hAnsi="Century Gothic" w:cs="Segoe UI"/>
        </w:rPr>
        <w:t>s</w:t>
      </w:r>
      <w:r w:rsidR="00232289">
        <w:rPr>
          <w:rFonts w:ascii="Century Gothic" w:eastAsia="Times New Roman" w:hAnsi="Century Gothic" w:cs="Segoe UI"/>
        </w:rPr>
        <w:t>)</w:t>
      </w:r>
    </w:p>
    <w:p w14:paraId="71A5CF8E" w14:textId="3E1E4481" w:rsidR="003D5A75" w:rsidRPr="003D5A75" w:rsidRDefault="003D5A75" w:rsidP="003D5A75">
      <w:pPr>
        <w:spacing w:beforeLines="60" w:before="144" w:afterLines="60" w:after="144" w:line="240" w:lineRule="auto"/>
        <w:rPr>
          <w:rFonts w:ascii="Century Gothic" w:eastAsia="Times New Roman" w:hAnsi="Century Gothic" w:cs="Segoe UI"/>
        </w:rPr>
      </w:pPr>
      <w:r w:rsidRPr="003D5A75">
        <w:rPr>
          <w:rFonts w:ascii="Century Gothic" w:eastAsia="Times New Roman" w:hAnsi="Century Gothic" w:cs="Segoe UI"/>
          <w:b/>
          <w:bCs/>
        </w:rPr>
        <w:t>Option 1:</w:t>
      </w:r>
      <w:r w:rsidRPr="003D5A75">
        <w:rPr>
          <w:rFonts w:ascii="Century Gothic" w:eastAsia="Times New Roman" w:hAnsi="Century Gothic" w:cs="Segoe UI"/>
        </w:rPr>
        <w:t xml:space="preserve"> </w:t>
      </w:r>
      <w:r w:rsidRPr="00831A39">
        <w:rPr>
          <w:rFonts w:ascii="Century Gothic" w:eastAsia="Times New Roman" w:hAnsi="Century Gothic" w:cs="Segoe UI"/>
          <w:b/>
          <w:bCs/>
        </w:rPr>
        <w:t>Simple Fully Managed Service</w:t>
      </w:r>
      <w:r w:rsidR="00995A93">
        <w:rPr>
          <w:rFonts w:ascii="Century Gothic" w:eastAsia="Times New Roman" w:hAnsi="Century Gothic" w:cs="Segoe UI"/>
          <w:b/>
          <w:bCs/>
        </w:rPr>
        <w:t>.</w:t>
      </w:r>
      <w:r w:rsidRPr="00831A39">
        <w:rPr>
          <w:rFonts w:ascii="Century Gothic" w:eastAsia="Times New Roman" w:hAnsi="Century Gothic" w:cs="Segoe UI"/>
          <w:b/>
          <w:bCs/>
        </w:rPr>
        <w:t xml:space="preserve"> </w:t>
      </w:r>
      <w:r w:rsidRPr="003D5A75">
        <w:rPr>
          <w:rFonts w:ascii="Century Gothic" w:eastAsia="Times New Roman" w:hAnsi="Century Gothic" w:cs="Segoe UI"/>
        </w:rPr>
        <w:t>In this option, the municipality can opt for a fully managed service provided by a third-party smart metering company. The municipality would rent smart meters on a per meter per month basis, paying a recurring fee for the set number of meters needed to manage all the wheeling transactions. This approach offers several advantages:</w:t>
      </w:r>
    </w:p>
    <w:p w14:paraId="01186E94" w14:textId="77777777" w:rsidR="003D5A75" w:rsidRPr="003D5A75" w:rsidRDefault="003D5A75" w:rsidP="00871EE8">
      <w:pPr>
        <w:numPr>
          <w:ilvl w:val="0"/>
          <w:numId w:val="53"/>
        </w:numPr>
        <w:spacing w:beforeLines="60" w:before="144" w:afterLines="60" w:after="144" w:line="240" w:lineRule="auto"/>
        <w:rPr>
          <w:rFonts w:ascii="Century Gothic" w:eastAsia="Times New Roman" w:hAnsi="Century Gothic" w:cs="Segoe UI"/>
        </w:rPr>
      </w:pPr>
      <w:r w:rsidRPr="003D5A75">
        <w:rPr>
          <w:rFonts w:ascii="Century Gothic" w:eastAsia="Times New Roman" w:hAnsi="Century Gothic" w:cs="Segoe UI"/>
        </w:rPr>
        <w:t>Rapid Implementation: The fully managed service allows for quick implementation without the need for significant upfront capital expenditure. This is beneficial for municipalities looking to expedite the establishment of smart metering systems.</w:t>
      </w:r>
    </w:p>
    <w:p w14:paraId="2156DE23" w14:textId="77777777" w:rsidR="003D5A75" w:rsidRPr="003D5A75" w:rsidRDefault="003D5A75" w:rsidP="00871EE8">
      <w:pPr>
        <w:numPr>
          <w:ilvl w:val="0"/>
          <w:numId w:val="53"/>
        </w:numPr>
        <w:spacing w:beforeLines="60" w:before="144" w:afterLines="60" w:after="144" w:line="240" w:lineRule="auto"/>
        <w:rPr>
          <w:rFonts w:ascii="Century Gothic" w:eastAsia="Times New Roman" w:hAnsi="Century Gothic" w:cs="Segoe UI"/>
        </w:rPr>
      </w:pPr>
      <w:r w:rsidRPr="003D5A75">
        <w:rPr>
          <w:rFonts w:ascii="Century Gothic" w:eastAsia="Times New Roman" w:hAnsi="Century Gothic" w:cs="Segoe UI"/>
        </w:rPr>
        <w:t>Reduced Technical Burden: The third-party smart metering company takes on the technical responsibilities of managing the meters, data collection, and related infrastructure, relieving the municipality of the burden of maintaining and operating the system.</w:t>
      </w:r>
    </w:p>
    <w:p w14:paraId="1C94AB4D" w14:textId="28FF5BD4" w:rsidR="003D5A75" w:rsidRPr="003D5A75" w:rsidRDefault="003D5A75" w:rsidP="003D5A75">
      <w:pPr>
        <w:spacing w:beforeLines="60" w:before="144" w:afterLines="60" w:after="144" w:line="240" w:lineRule="auto"/>
        <w:rPr>
          <w:rFonts w:ascii="Century Gothic" w:eastAsia="Times New Roman" w:hAnsi="Century Gothic" w:cs="Segoe UI"/>
        </w:rPr>
      </w:pPr>
      <w:r w:rsidRPr="003D5A75">
        <w:rPr>
          <w:rFonts w:ascii="Century Gothic" w:eastAsia="Times New Roman" w:hAnsi="Century Gothic" w:cs="Segoe UI"/>
          <w:b/>
          <w:bCs/>
        </w:rPr>
        <w:t>Option 2:</w:t>
      </w:r>
      <w:r w:rsidRPr="003D5A75">
        <w:rPr>
          <w:rFonts w:ascii="Century Gothic" w:eastAsia="Times New Roman" w:hAnsi="Century Gothic" w:cs="Segoe UI"/>
        </w:rPr>
        <w:t xml:space="preserve"> </w:t>
      </w:r>
      <w:r w:rsidRPr="00831A39">
        <w:rPr>
          <w:rFonts w:ascii="Century Gothic" w:eastAsia="Times New Roman" w:hAnsi="Century Gothic" w:cs="Segoe UI"/>
          <w:b/>
          <w:bCs/>
        </w:rPr>
        <w:t>Complex Custom Solution</w:t>
      </w:r>
      <w:r w:rsidR="00CD256B" w:rsidRPr="00831A39">
        <w:rPr>
          <w:rFonts w:ascii="Century Gothic" w:eastAsia="Times New Roman" w:hAnsi="Century Gothic" w:cs="Segoe UI"/>
          <w:b/>
          <w:bCs/>
        </w:rPr>
        <w:t>.</w:t>
      </w:r>
      <w:r w:rsidRPr="003D5A75">
        <w:rPr>
          <w:rFonts w:ascii="Century Gothic" w:eastAsia="Times New Roman" w:hAnsi="Century Gothic" w:cs="Segoe UI"/>
        </w:rPr>
        <w:t xml:space="preserve"> In this option, the municipality takes a more strategic approach to establish smart metering systems for wheeling transactions. The process involves:</w:t>
      </w:r>
    </w:p>
    <w:p w14:paraId="0E7C6C00" w14:textId="77777777" w:rsidR="003D5A75" w:rsidRPr="003D5A75" w:rsidRDefault="003D5A75" w:rsidP="00871EE8">
      <w:pPr>
        <w:numPr>
          <w:ilvl w:val="0"/>
          <w:numId w:val="54"/>
        </w:numPr>
        <w:spacing w:beforeLines="60" w:before="144" w:afterLines="60" w:after="144" w:line="240" w:lineRule="auto"/>
        <w:rPr>
          <w:rFonts w:ascii="Century Gothic" w:eastAsia="Times New Roman" w:hAnsi="Century Gothic" w:cs="Segoe UI"/>
        </w:rPr>
      </w:pPr>
      <w:r w:rsidRPr="003D5A75">
        <w:rPr>
          <w:rFonts w:ascii="Century Gothic" w:eastAsia="Times New Roman" w:hAnsi="Century Gothic" w:cs="Segoe UI"/>
        </w:rPr>
        <w:t xml:space="preserve">Needs Assessment: The municipality conducts a comprehensive needs assessment to understand the specific requirements for smart metering in the context of wheeling </w:t>
      </w:r>
      <w:r w:rsidRPr="003D5A75">
        <w:rPr>
          <w:rFonts w:ascii="Century Gothic" w:eastAsia="Times New Roman" w:hAnsi="Century Gothic" w:cs="Segoe UI"/>
        </w:rPr>
        <w:lastRenderedPageBreak/>
        <w:t>transactions. This includes identifying the number of meters needed, data collection frequency, data integration with billing systems, and other relevant factors.</w:t>
      </w:r>
    </w:p>
    <w:p w14:paraId="5647EE9D" w14:textId="77777777" w:rsidR="003D5A75" w:rsidRPr="003D5A75" w:rsidRDefault="003D5A75" w:rsidP="00871EE8">
      <w:pPr>
        <w:numPr>
          <w:ilvl w:val="0"/>
          <w:numId w:val="54"/>
        </w:numPr>
        <w:spacing w:beforeLines="60" w:before="144" w:afterLines="60" w:after="144" w:line="240" w:lineRule="auto"/>
        <w:rPr>
          <w:rFonts w:ascii="Century Gothic" w:eastAsia="Times New Roman" w:hAnsi="Century Gothic" w:cs="Segoe UI"/>
        </w:rPr>
      </w:pPr>
      <w:r w:rsidRPr="003D5A75">
        <w:rPr>
          <w:rFonts w:ascii="Century Gothic" w:eastAsia="Times New Roman" w:hAnsi="Century Gothic" w:cs="Segoe UI"/>
        </w:rPr>
        <w:t>Fit-for-Purpose Solution: Based on the needs assessment, the municipality designs a custom and fit-for-purpose smart metering solution. This may involve procuring various components and technologies that align with the municipality's long-term objectives and goals, such as building a smarter city with enhanced energy management capabilities.</w:t>
      </w:r>
    </w:p>
    <w:p w14:paraId="2099DE7B" w14:textId="7775E2BF" w:rsidR="003D5A75" w:rsidRPr="003D5A75" w:rsidRDefault="003D5A75" w:rsidP="00871EE8">
      <w:pPr>
        <w:numPr>
          <w:ilvl w:val="0"/>
          <w:numId w:val="54"/>
        </w:numPr>
        <w:spacing w:beforeLines="60" w:before="144" w:afterLines="60" w:after="144" w:line="240" w:lineRule="auto"/>
        <w:rPr>
          <w:rFonts w:ascii="Century Gothic" w:eastAsia="Times New Roman" w:hAnsi="Century Gothic" w:cs="Segoe UI"/>
        </w:rPr>
      </w:pPr>
      <w:r w:rsidRPr="003D5A75">
        <w:rPr>
          <w:rFonts w:ascii="Century Gothic" w:eastAsia="Times New Roman" w:hAnsi="Century Gothic" w:cs="Segoe UI"/>
        </w:rPr>
        <w:t>Open Market Procurement: The municipality initiates an open market procurement process to select the vendors or suppliers for the required smart metering components. This process ensures transparency, competition, and compliance with regulatory requirements.</w:t>
      </w:r>
      <w:r w:rsidR="000D28BB">
        <w:rPr>
          <w:rFonts w:ascii="Century Gothic" w:eastAsia="Times New Roman" w:hAnsi="Century Gothic" w:cs="Segoe UI"/>
        </w:rPr>
        <w:t xml:space="preserve"> Annexure C details </w:t>
      </w:r>
      <w:r w:rsidR="005B1DC4">
        <w:rPr>
          <w:rFonts w:ascii="Century Gothic" w:eastAsia="Times New Roman" w:hAnsi="Century Gothic" w:cs="Segoe UI"/>
        </w:rPr>
        <w:t xml:space="preserve">certain of </w:t>
      </w:r>
      <w:r w:rsidR="000D28BB">
        <w:rPr>
          <w:rFonts w:ascii="Century Gothic" w:eastAsia="Times New Roman" w:hAnsi="Century Gothic" w:cs="Segoe UI"/>
        </w:rPr>
        <w:t xml:space="preserve">the requirements that will be required </w:t>
      </w:r>
      <w:r w:rsidR="00541C65">
        <w:rPr>
          <w:rFonts w:ascii="Century Gothic" w:eastAsia="Times New Roman" w:hAnsi="Century Gothic" w:cs="Segoe UI"/>
        </w:rPr>
        <w:t>for such</w:t>
      </w:r>
      <w:r w:rsidR="005B1DC4">
        <w:rPr>
          <w:rFonts w:ascii="Century Gothic" w:eastAsia="Times New Roman" w:hAnsi="Century Gothic" w:cs="Segoe UI"/>
        </w:rPr>
        <w:t xml:space="preserve"> systems.</w:t>
      </w:r>
    </w:p>
    <w:p w14:paraId="49F8E3F5" w14:textId="77777777" w:rsidR="003D5A75" w:rsidRPr="003D5A75" w:rsidRDefault="003D5A75" w:rsidP="00871EE8">
      <w:pPr>
        <w:numPr>
          <w:ilvl w:val="0"/>
          <w:numId w:val="54"/>
        </w:numPr>
        <w:spacing w:beforeLines="60" w:before="144" w:afterLines="60" w:after="144" w:line="240" w:lineRule="auto"/>
        <w:rPr>
          <w:rFonts w:ascii="Century Gothic" w:eastAsia="Times New Roman" w:hAnsi="Century Gothic" w:cs="Segoe UI"/>
        </w:rPr>
      </w:pPr>
      <w:r w:rsidRPr="003D5A75">
        <w:rPr>
          <w:rFonts w:ascii="Century Gothic" w:eastAsia="Times New Roman" w:hAnsi="Century Gothic" w:cs="Segoe UI"/>
        </w:rPr>
        <w:t>Integration and Implementation: Once the components are procured, the municipality oversees the integration and implementation of the smart metering system. This includes data management platforms, communication infrastructure, and user interfaces to monitor and manage wheeling transactions effectively.</w:t>
      </w:r>
    </w:p>
    <w:p w14:paraId="6C4E0E96" w14:textId="1212B456" w:rsidR="003D5A75" w:rsidRPr="003D5A75" w:rsidRDefault="003D5A75" w:rsidP="003D5A75">
      <w:pPr>
        <w:spacing w:beforeLines="60" w:before="144" w:afterLines="60" w:after="144" w:line="240" w:lineRule="auto"/>
        <w:rPr>
          <w:rFonts w:ascii="Century Gothic" w:eastAsia="Times New Roman" w:hAnsi="Century Gothic" w:cs="Segoe UI"/>
        </w:rPr>
      </w:pPr>
      <w:r w:rsidRPr="003D5A75">
        <w:rPr>
          <w:rFonts w:ascii="Century Gothic" w:eastAsia="Times New Roman" w:hAnsi="Century Gothic" w:cs="Segoe UI"/>
        </w:rPr>
        <w:t>Considerations for South African Municipalities: When deciding between Option 1 and Option 2, municipalities should consider factors such as budget constraints, timeline for implementation, technical expertise, and long-term goals. Option 1 offers a more straightforward and expedited approach</w:t>
      </w:r>
      <w:r w:rsidR="00BE5B56">
        <w:rPr>
          <w:rFonts w:ascii="Century Gothic" w:eastAsia="Times New Roman" w:hAnsi="Century Gothic" w:cs="Segoe UI"/>
        </w:rPr>
        <w:t xml:space="preserve"> but is a subject to a 3 year MFMA contract</w:t>
      </w:r>
      <w:r w:rsidRPr="003D5A75">
        <w:rPr>
          <w:rFonts w:ascii="Century Gothic" w:eastAsia="Times New Roman" w:hAnsi="Century Gothic" w:cs="Segoe UI"/>
        </w:rPr>
        <w:t>, while Option 2 allows for a customized solution that aligns precisely with the municipality's needs and aspirations</w:t>
      </w:r>
      <w:r w:rsidR="009C596F">
        <w:rPr>
          <w:rFonts w:ascii="Century Gothic" w:eastAsia="Times New Roman" w:hAnsi="Century Gothic" w:cs="Segoe UI"/>
        </w:rPr>
        <w:t xml:space="preserve"> (a fully in house mana</w:t>
      </w:r>
      <w:r w:rsidR="00FA5F30">
        <w:rPr>
          <w:rFonts w:ascii="Century Gothic" w:eastAsia="Times New Roman" w:hAnsi="Century Gothic" w:cs="Segoe UI"/>
        </w:rPr>
        <w:t>ged and control system)</w:t>
      </w:r>
    </w:p>
    <w:p w14:paraId="09926F81" w14:textId="559773C7" w:rsidR="003D5A75" w:rsidRPr="003D5A75" w:rsidRDefault="003D5A75" w:rsidP="003D5A75">
      <w:pPr>
        <w:spacing w:beforeLines="60" w:before="144" w:afterLines="60" w:after="144" w:line="240" w:lineRule="auto"/>
        <w:rPr>
          <w:rFonts w:ascii="Century Gothic" w:eastAsia="Times New Roman" w:hAnsi="Century Gothic" w:cs="Segoe UI"/>
        </w:rPr>
      </w:pPr>
      <w:r w:rsidRPr="003D5A75">
        <w:rPr>
          <w:rFonts w:ascii="Century Gothic" w:eastAsia="Times New Roman" w:hAnsi="Century Gothic" w:cs="Segoe UI"/>
        </w:rPr>
        <w:t>Moreover, South African municipalities need to consider regulatory compliance and data privacy issues while establishing smart metering systems. Engaging with relevant stakeholders, including energy regulators and consumers, can help address concerns and ensure a smooth implementation process.</w:t>
      </w:r>
      <w:r w:rsidR="00134530">
        <w:rPr>
          <w:rFonts w:ascii="Century Gothic" w:eastAsia="Times New Roman" w:hAnsi="Century Gothic" w:cs="Segoe UI"/>
        </w:rPr>
        <w:t xml:space="preserve"> </w:t>
      </w:r>
    </w:p>
    <w:p w14:paraId="51CC67A0" w14:textId="77777777" w:rsidR="003D5A75" w:rsidRDefault="003D5A75" w:rsidP="003D5A75">
      <w:pPr>
        <w:spacing w:beforeLines="60" w:before="144" w:afterLines="60" w:after="144" w:line="240" w:lineRule="auto"/>
        <w:rPr>
          <w:rFonts w:ascii="Century Gothic" w:eastAsia="Times New Roman" w:hAnsi="Century Gothic" w:cs="Segoe UI"/>
        </w:rPr>
      </w:pPr>
      <w:r w:rsidRPr="003D5A75">
        <w:rPr>
          <w:rFonts w:ascii="Century Gothic" w:eastAsia="Times New Roman" w:hAnsi="Century Gothic" w:cs="Segoe UI"/>
        </w:rPr>
        <w:t>Ultimately, the choice between the two options will depend on the municipality's specific circumstances, available resources, and its vision for the future of energy management and wheeling transactions.</w:t>
      </w:r>
    </w:p>
    <w:p w14:paraId="19D495CA" w14:textId="77777777" w:rsidR="005C61E8" w:rsidRDefault="005C61E8" w:rsidP="003D5A75">
      <w:pPr>
        <w:spacing w:beforeLines="60" w:before="144" w:afterLines="60" w:after="144" w:line="240" w:lineRule="auto"/>
        <w:rPr>
          <w:rFonts w:ascii="Century Gothic" w:eastAsia="Times New Roman" w:hAnsi="Century Gothic" w:cs="Segoe UI"/>
        </w:rPr>
      </w:pPr>
    </w:p>
    <w:p w14:paraId="3E54F614" w14:textId="77777777" w:rsidR="005C61E8" w:rsidRDefault="005C61E8" w:rsidP="003D5A75">
      <w:pPr>
        <w:spacing w:beforeLines="60" w:before="144" w:afterLines="60" w:after="144" w:line="240" w:lineRule="auto"/>
        <w:rPr>
          <w:rFonts w:ascii="Century Gothic" w:eastAsia="Times New Roman" w:hAnsi="Century Gothic" w:cs="Segoe UI"/>
        </w:rPr>
      </w:pPr>
    </w:p>
    <w:p w14:paraId="7CE6294A" w14:textId="77777777" w:rsidR="005C61E8" w:rsidRDefault="005C61E8" w:rsidP="003D5A75">
      <w:pPr>
        <w:spacing w:beforeLines="60" w:before="144" w:afterLines="60" w:after="144" w:line="240" w:lineRule="auto"/>
        <w:rPr>
          <w:rFonts w:ascii="Century Gothic" w:eastAsia="Times New Roman" w:hAnsi="Century Gothic" w:cs="Segoe UI"/>
        </w:rPr>
      </w:pPr>
    </w:p>
    <w:p w14:paraId="19F0ACD8" w14:textId="77777777" w:rsidR="005C61E8" w:rsidRDefault="005C61E8" w:rsidP="003D5A75">
      <w:pPr>
        <w:spacing w:beforeLines="60" w:before="144" w:afterLines="60" w:after="144" w:line="240" w:lineRule="auto"/>
        <w:rPr>
          <w:rFonts w:ascii="Century Gothic" w:eastAsia="Times New Roman" w:hAnsi="Century Gothic" w:cs="Segoe UI"/>
        </w:rPr>
      </w:pPr>
    </w:p>
    <w:p w14:paraId="10563D0F" w14:textId="77777777" w:rsidR="005C61E8" w:rsidRDefault="005C61E8" w:rsidP="003D5A75">
      <w:pPr>
        <w:spacing w:beforeLines="60" w:before="144" w:afterLines="60" w:after="144" w:line="240" w:lineRule="auto"/>
        <w:rPr>
          <w:rFonts w:ascii="Century Gothic" w:eastAsia="Times New Roman" w:hAnsi="Century Gothic" w:cs="Segoe UI"/>
        </w:rPr>
      </w:pPr>
    </w:p>
    <w:p w14:paraId="28660EFD" w14:textId="77777777" w:rsidR="005C61E8" w:rsidRDefault="005C61E8" w:rsidP="003D5A75">
      <w:pPr>
        <w:spacing w:beforeLines="60" w:before="144" w:afterLines="60" w:after="144" w:line="240" w:lineRule="auto"/>
        <w:rPr>
          <w:rFonts w:ascii="Century Gothic" w:eastAsia="Times New Roman" w:hAnsi="Century Gothic" w:cs="Segoe UI"/>
        </w:rPr>
      </w:pPr>
    </w:p>
    <w:p w14:paraId="04FE2F37" w14:textId="77777777" w:rsidR="005C61E8" w:rsidRDefault="005C61E8" w:rsidP="003D5A75">
      <w:pPr>
        <w:spacing w:beforeLines="60" w:before="144" w:afterLines="60" w:after="144" w:line="240" w:lineRule="auto"/>
        <w:rPr>
          <w:rFonts w:ascii="Century Gothic" w:eastAsia="Times New Roman" w:hAnsi="Century Gothic" w:cs="Segoe UI"/>
        </w:rPr>
      </w:pPr>
    </w:p>
    <w:p w14:paraId="321F15AE" w14:textId="77777777" w:rsidR="005C61E8" w:rsidRDefault="005C61E8" w:rsidP="003D5A75">
      <w:pPr>
        <w:spacing w:beforeLines="60" w:before="144" w:afterLines="60" w:after="144" w:line="240" w:lineRule="auto"/>
        <w:rPr>
          <w:rFonts w:ascii="Century Gothic" w:eastAsia="Times New Roman" w:hAnsi="Century Gothic" w:cs="Segoe UI"/>
        </w:rPr>
      </w:pPr>
    </w:p>
    <w:p w14:paraId="32CB8E20" w14:textId="77777777" w:rsidR="005C61E8" w:rsidRDefault="005C61E8" w:rsidP="003D5A75">
      <w:pPr>
        <w:spacing w:beforeLines="60" w:before="144" w:afterLines="60" w:after="144" w:line="240" w:lineRule="auto"/>
        <w:rPr>
          <w:rFonts w:ascii="Century Gothic" w:eastAsia="Times New Roman" w:hAnsi="Century Gothic" w:cs="Segoe UI"/>
        </w:rPr>
      </w:pPr>
    </w:p>
    <w:p w14:paraId="2A74987E" w14:textId="77777777" w:rsidR="005C61E8" w:rsidRDefault="005C61E8" w:rsidP="003D5A75">
      <w:pPr>
        <w:spacing w:beforeLines="60" w:before="144" w:afterLines="60" w:after="144" w:line="240" w:lineRule="auto"/>
        <w:rPr>
          <w:rFonts w:ascii="Century Gothic" w:eastAsia="Times New Roman" w:hAnsi="Century Gothic" w:cs="Segoe UI"/>
        </w:rPr>
      </w:pPr>
    </w:p>
    <w:p w14:paraId="783A18DE" w14:textId="77777777" w:rsidR="005C61E8" w:rsidRDefault="005C61E8" w:rsidP="003D5A75">
      <w:pPr>
        <w:spacing w:beforeLines="60" w:before="144" w:afterLines="60" w:after="144" w:line="240" w:lineRule="auto"/>
        <w:rPr>
          <w:rFonts w:ascii="Century Gothic" w:eastAsia="Times New Roman" w:hAnsi="Century Gothic" w:cs="Segoe UI"/>
        </w:rPr>
      </w:pPr>
    </w:p>
    <w:p w14:paraId="075B2C1F" w14:textId="77777777" w:rsidR="005C61E8" w:rsidRDefault="005C61E8" w:rsidP="003D5A75">
      <w:pPr>
        <w:spacing w:beforeLines="60" w:before="144" w:afterLines="60" w:after="144" w:line="240" w:lineRule="auto"/>
        <w:rPr>
          <w:rFonts w:ascii="Century Gothic" w:eastAsia="Times New Roman" w:hAnsi="Century Gothic" w:cs="Segoe UI"/>
        </w:rPr>
      </w:pPr>
    </w:p>
    <w:p w14:paraId="6FD3AE98" w14:textId="77777777" w:rsidR="005C61E8" w:rsidRDefault="005C61E8" w:rsidP="003D5A75">
      <w:pPr>
        <w:spacing w:beforeLines="60" w:before="144" w:afterLines="60" w:after="144" w:line="240" w:lineRule="auto"/>
        <w:rPr>
          <w:rFonts w:ascii="Century Gothic" w:eastAsia="Times New Roman" w:hAnsi="Century Gothic" w:cs="Segoe UI"/>
        </w:rPr>
      </w:pPr>
    </w:p>
    <w:p w14:paraId="2B13E3A5" w14:textId="77777777" w:rsidR="005C61E8" w:rsidRDefault="005C61E8" w:rsidP="003D5A75">
      <w:pPr>
        <w:spacing w:beforeLines="60" w:before="144" w:afterLines="60" w:after="144" w:line="240" w:lineRule="auto"/>
        <w:rPr>
          <w:rFonts w:ascii="Century Gothic" w:eastAsia="Times New Roman" w:hAnsi="Century Gothic" w:cs="Segoe UI"/>
        </w:rPr>
      </w:pPr>
    </w:p>
    <w:p w14:paraId="6631365B" w14:textId="77777777" w:rsidR="005C61E8" w:rsidRDefault="005C61E8" w:rsidP="003D5A75">
      <w:pPr>
        <w:spacing w:beforeLines="60" w:before="144" w:afterLines="60" w:after="144" w:line="240" w:lineRule="auto"/>
        <w:rPr>
          <w:rFonts w:ascii="Century Gothic" w:eastAsia="Times New Roman" w:hAnsi="Century Gothic" w:cs="Segoe UI"/>
        </w:rPr>
      </w:pPr>
    </w:p>
    <w:p w14:paraId="7735CDC2" w14:textId="361A5EA8" w:rsidR="007C0C8A" w:rsidRDefault="007C0C8A" w:rsidP="007C0C8A">
      <w:pPr>
        <w:pStyle w:val="Heading1"/>
      </w:pPr>
      <w:bookmarkStart w:id="55" w:name="_Toc145484207"/>
      <w:r>
        <w:lastRenderedPageBreak/>
        <w:t>Annexure A</w:t>
      </w:r>
      <w:r w:rsidR="005720AD">
        <w:t xml:space="preserve"> - T</w:t>
      </w:r>
      <w:r w:rsidR="00820225" w:rsidRPr="002B7781">
        <w:t xml:space="preserve">echnical </w:t>
      </w:r>
      <w:r w:rsidR="00820225">
        <w:t>S</w:t>
      </w:r>
      <w:r w:rsidR="00820225" w:rsidRPr="002B7781">
        <w:t>tandards</w:t>
      </w:r>
      <w:r w:rsidR="00FA5F30">
        <w:t xml:space="preserve"> and Legislation</w:t>
      </w:r>
      <w:bookmarkEnd w:id="55"/>
    </w:p>
    <w:p w14:paraId="02714D50" w14:textId="77777777" w:rsidR="007C0C8A" w:rsidRPr="002B7781" w:rsidRDefault="007C0C8A" w:rsidP="007C0C8A">
      <w:pPr>
        <w:pStyle w:val="BodyText"/>
        <w:rPr>
          <w:rFonts w:ascii="Century Gothic" w:hAnsi="Century Gothic"/>
          <w:lang w:eastAsia="en-ZA"/>
        </w:rPr>
      </w:pPr>
    </w:p>
    <w:p w14:paraId="4FAFA484" w14:textId="77777777" w:rsidR="007C0C8A" w:rsidRPr="002B7781" w:rsidRDefault="007C0C8A" w:rsidP="00871EE8">
      <w:pPr>
        <w:pStyle w:val="BodyText"/>
        <w:numPr>
          <w:ilvl w:val="0"/>
          <w:numId w:val="6"/>
        </w:numPr>
        <w:ind w:left="417"/>
        <w:rPr>
          <w:rFonts w:ascii="Century Gothic" w:hAnsi="Century Gothic"/>
          <w:lang w:eastAsia="en-ZA"/>
        </w:rPr>
      </w:pPr>
      <w:r w:rsidRPr="002B7781">
        <w:rPr>
          <w:rFonts w:ascii="Century Gothic" w:hAnsi="Century Gothic"/>
          <w:b/>
          <w:bCs/>
          <w:lang w:eastAsia="en-ZA"/>
        </w:rPr>
        <w:t>Electricity Regulation Act 4 of 2006 and Electricity Regulation Amendment Act 28 of 2007</w:t>
      </w:r>
      <w:r w:rsidRPr="002B7781">
        <w:rPr>
          <w:rFonts w:ascii="Century Gothic" w:hAnsi="Century Gothic"/>
          <w:lang w:eastAsia="en-ZA"/>
        </w:rPr>
        <w:t xml:space="preserve"> - These acts establish a national regulatory framework for the electricity supply industry and make the National Energy Regulator (NERSA) the custodian and enforcer of it. They also provide for licences and registration for generation, transmission, distribution, trading and import and export of electricity1. The amendment act inserts a new chapter dealing with electricity reticulation by municipalities and extends the minister’s powers to make regulations.</w:t>
      </w:r>
    </w:p>
    <w:p w14:paraId="20474D79" w14:textId="128939DA" w:rsidR="007C0C8A" w:rsidRPr="002B7781" w:rsidRDefault="007C0C8A" w:rsidP="00871EE8">
      <w:pPr>
        <w:pStyle w:val="BodyText"/>
        <w:numPr>
          <w:ilvl w:val="0"/>
          <w:numId w:val="6"/>
        </w:numPr>
        <w:ind w:left="417"/>
        <w:rPr>
          <w:rFonts w:ascii="Century Gothic" w:hAnsi="Century Gothic"/>
          <w:lang w:eastAsia="en-ZA"/>
        </w:rPr>
      </w:pPr>
      <w:r w:rsidRPr="002B7781">
        <w:rPr>
          <w:rFonts w:ascii="Century Gothic" w:hAnsi="Century Gothic"/>
          <w:b/>
          <w:bCs/>
          <w:lang w:eastAsia="en-ZA"/>
        </w:rPr>
        <w:t>South African Grid Codes (Distribution, Transmission and Renewable Power Plants)</w:t>
      </w:r>
      <w:r w:rsidRPr="002B7781">
        <w:rPr>
          <w:rFonts w:ascii="Century Gothic" w:hAnsi="Century Gothic"/>
          <w:lang w:eastAsia="en-ZA"/>
        </w:rPr>
        <w:t xml:space="preserve"> - These codes specify the minimum technical and operational requirements for connecting to and using the national grid. They apply to all network service providers (NSPs) and users of the grid, including renewable power plants (RPPs). They also outline the quality of supply requirements, such as voltage levels, frequency, harmonics, flicker, and interruptions.  </w:t>
      </w:r>
      <w:hyperlink r:id="rId73" w:tgtFrame="_blank" w:history="1">
        <w:r w:rsidRPr="002B7781">
          <w:rPr>
            <w:rFonts w:ascii="Century Gothic" w:hAnsi="Century Gothic"/>
            <w:lang w:eastAsia="en-ZA"/>
          </w:rPr>
          <w:t>You can find all these codes on the website of the National Energy Regulator of South Africa (NERSA)</w:t>
        </w:r>
      </w:hyperlink>
      <w:r w:rsidRPr="002B7781">
        <w:rPr>
          <w:rFonts w:ascii="Century Gothic" w:hAnsi="Century Gothic"/>
          <w:lang w:eastAsia="en-ZA"/>
        </w:rPr>
        <w:t>. Here are some links to the different codes:</w:t>
      </w:r>
    </w:p>
    <w:p w14:paraId="6A73EC8D" w14:textId="357D0F07" w:rsidR="007C0C8A" w:rsidRPr="002B7781" w:rsidRDefault="007C0C8A" w:rsidP="00871EE8">
      <w:pPr>
        <w:numPr>
          <w:ilvl w:val="0"/>
          <w:numId w:val="7"/>
        </w:numPr>
        <w:tabs>
          <w:tab w:val="clear" w:pos="1440"/>
          <w:tab w:val="num" w:pos="788"/>
        </w:tabs>
        <w:spacing w:beforeAutospacing="1" w:after="0" w:afterAutospacing="1" w:line="240" w:lineRule="auto"/>
        <w:ind w:left="788"/>
        <w:rPr>
          <w:rFonts w:ascii="Century Gothic" w:eastAsiaTheme="minorEastAsia" w:hAnsi="Century Gothic" w:cstheme="minorBidi"/>
        </w:rPr>
      </w:pPr>
      <w:r w:rsidRPr="002B7781">
        <w:rPr>
          <w:rFonts w:ascii="Century Gothic" w:eastAsiaTheme="minorEastAsia" w:hAnsi="Century Gothic" w:cstheme="minorBidi"/>
        </w:rPr>
        <w:t>Preamble: This sets the context and explanation of the terms used in the Grid Code.</w:t>
      </w:r>
    </w:p>
    <w:p w14:paraId="7C46D601" w14:textId="19B6472D" w:rsidR="007C0C8A" w:rsidRPr="002B7781" w:rsidRDefault="007C0C8A" w:rsidP="00871EE8">
      <w:pPr>
        <w:numPr>
          <w:ilvl w:val="0"/>
          <w:numId w:val="7"/>
        </w:numPr>
        <w:tabs>
          <w:tab w:val="clear" w:pos="1440"/>
          <w:tab w:val="num" w:pos="788"/>
        </w:tabs>
        <w:spacing w:beforeAutospacing="1" w:after="0" w:afterAutospacing="1" w:line="240" w:lineRule="auto"/>
        <w:ind w:left="788"/>
        <w:rPr>
          <w:rFonts w:ascii="Century Gothic" w:eastAsiaTheme="minorEastAsia" w:hAnsi="Century Gothic" w:cstheme="minorBidi"/>
        </w:rPr>
      </w:pPr>
      <w:r w:rsidRPr="002B7781">
        <w:rPr>
          <w:rFonts w:ascii="Century Gothic" w:eastAsiaTheme="minorEastAsia" w:hAnsi="Century Gothic" w:cstheme="minorBidi"/>
        </w:rPr>
        <w:t>Network Code: This specifies the technical and operational requirements for connecting to and using the transmission network.</w:t>
      </w:r>
    </w:p>
    <w:p w14:paraId="448CDD13" w14:textId="00D555B4" w:rsidR="007C0C8A" w:rsidRPr="002B7781" w:rsidRDefault="007C0C8A" w:rsidP="00871EE8">
      <w:pPr>
        <w:numPr>
          <w:ilvl w:val="0"/>
          <w:numId w:val="7"/>
        </w:numPr>
        <w:tabs>
          <w:tab w:val="clear" w:pos="1440"/>
          <w:tab w:val="num" w:pos="788"/>
        </w:tabs>
        <w:spacing w:beforeAutospacing="1" w:after="0" w:afterAutospacing="1" w:line="240" w:lineRule="auto"/>
        <w:ind w:left="788"/>
        <w:rPr>
          <w:rFonts w:ascii="Century Gothic" w:eastAsiaTheme="minorEastAsia" w:hAnsi="Century Gothic" w:cstheme="minorBidi"/>
        </w:rPr>
      </w:pPr>
      <w:r w:rsidRPr="002B7781">
        <w:rPr>
          <w:rFonts w:ascii="Century Gothic" w:eastAsiaTheme="minorEastAsia" w:hAnsi="Century Gothic" w:cstheme="minorBidi"/>
        </w:rPr>
        <w:t>Governance Code: This specifies the governance structure and processes for developing and maintaining the Grid Code.</w:t>
      </w:r>
    </w:p>
    <w:p w14:paraId="6B09ED5A" w14:textId="77777777" w:rsidR="007C0C8A" w:rsidRPr="002B7781" w:rsidRDefault="007C0C8A" w:rsidP="00871EE8">
      <w:pPr>
        <w:numPr>
          <w:ilvl w:val="0"/>
          <w:numId w:val="7"/>
        </w:numPr>
        <w:tabs>
          <w:tab w:val="clear" w:pos="1440"/>
          <w:tab w:val="num" w:pos="788"/>
        </w:tabs>
        <w:spacing w:before="100" w:beforeAutospacing="1" w:after="100" w:afterAutospacing="1" w:line="240" w:lineRule="auto"/>
        <w:ind w:left="788"/>
        <w:rPr>
          <w:rFonts w:ascii="Century Gothic" w:eastAsiaTheme="minorEastAsia" w:hAnsi="Century Gothic" w:cstheme="minorBidi"/>
        </w:rPr>
      </w:pPr>
      <w:r w:rsidRPr="002B7781">
        <w:rPr>
          <w:rFonts w:ascii="Century Gothic" w:eastAsiaTheme="minorEastAsia" w:hAnsi="Century Gothic" w:cstheme="minorBidi"/>
        </w:rPr>
        <w:t>System Operation Code: This specifies the operational requirements and procedures for system operation and control.</w:t>
      </w:r>
    </w:p>
    <w:p w14:paraId="76E39286" w14:textId="77777777" w:rsidR="007C0C8A" w:rsidRPr="002B7781" w:rsidRDefault="007C0C8A" w:rsidP="00871EE8">
      <w:pPr>
        <w:numPr>
          <w:ilvl w:val="0"/>
          <w:numId w:val="7"/>
        </w:numPr>
        <w:tabs>
          <w:tab w:val="clear" w:pos="1440"/>
          <w:tab w:val="num" w:pos="788"/>
        </w:tabs>
        <w:spacing w:before="100" w:beforeAutospacing="1" w:after="100" w:afterAutospacing="1" w:line="240" w:lineRule="auto"/>
        <w:ind w:left="788"/>
        <w:rPr>
          <w:rFonts w:ascii="Century Gothic" w:eastAsiaTheme="minorEastAsia" w:hAnsi="Century Gothic" w:cstheme="minorBidi"/>
        </w:rPr>
      </w:pPr>
      <w:r w:rsidRPr="002B7781">
        <w:rPr>
          <w:rFonts w:ascii="Century Gothic" w:eastAsiaTheme="minorEastAsia" w:hAnsi="Century Gothic" w:cstheme="minorBidi"/>
        </w:rPr>
        <w:t>Scheduling and Dispatch Code: This specifies the scheduling and dispatch rules and procedures for generators and loads connected to the transmission network.</w:t>
      </w:r>
    </w:p>
    <w:p w14:paraId="13791033" w14:textId="77777777" w:rsidR="007C0C8A" w:rsidRPr="002B7781" w:rsidRDefault="007C0C8A" w:rsidP="00871EE8">
      <w:pPr>
        <w:numPr>
          <w:ilvl w:val="0"/>
          <w:numId w:val="7"/>
        </w:numPr>
        <w:tabs>
          <w:tab w:val="clear" w:pos="1440"/>
          <w:tab w:val="num" w:pos="788"/>
        </w:tabs>
        <w:spacing w:before="100" w:beforeAutospacing="1" w:after="100" w:afterAutospacing="1" w:line="240" w:lineRule="auto"/>
        <w:ind w:left="788"/>
        <w:rPr>
          <w:rFonts w:ascii="Century Gothic" w:eastAsiaTheme="minorEastAsia" w:hAnsi="Century Gothic" w:cstheme="minorBidi"/>
        </w:rPr>
      </w:pPr>
      <w:r w:rsidRPr="002B7781">
        <w:rPr>
          <w:rFonts w:ascii="Century Gothic" w:eastAsiaTheme="minorEastAsia" w:hAnsi="Century Gothic" w:cstheme="minorBidi"/>
        </w:rPr>
        <w:t>Renewable Power Plants Connection Code: This specifies the technical and design grid connection requirements for RPPs connected to or seeking connection to the TS or DS.</w:t>
      </w:r>
    </w:p>
    <w:p w14:paraId="266F2F33" w14:textId="77777777" w:rsidR="007C0C8A" w:rsidRPr="002B7781" w:rsidRDefault="007C0C8A" w:rsidP="008502B0">
      <w:pPr>
        <w:pStyle w:val="BodyText"/>
        <w:numPr>
          <w:ilvl w:val="0"/>
          <w:numId w:val="6"/>
        </w:numPr>
        <w:spacing w:before="60" w:after="60" w:line="240" w:lineRule="auto"/>
        <w:ind w:left="414" w:hanging="357"/>
        <w:rPr>
          <w:rFonts w:ascii="Century Gothic" w:hAnsi="Century Gothic"/>
          <w:lang w:eastAsia="en-ZA"/>
        </w:rPr>
      </w:pPr>
      <w:r w:rsidRPr="002B7781">
        <w:rPr>
          <w:rFonts w:ascii="Century Gothic" w:hAnsi="Century Gothic"/>
          <w:b/>
          <w:bCs/>
          <w:lang w:eastAsia="en-ZA"/>
        </w:rPr>
        <w:t>Occupational Health and Safety Act 85 of 1993</w:t>
      </w:r>
      <w:r w:rsidRPr="002B7781">
        <w:rPr>
          <w:rFonts w:ascii="Century Gothic" w:hAnsi="Century Gothic"/>
          <w:lang w:eastAsia="en-ZA"/>
        </w:rPr>
        <w:t xml:space="preserve"> - This act aims to provide for the health and safety of persons at work and for the health and safety of persons in connection with the use of plant and machinery. It also provides for the protection of persons other than persons at work against hazards to health and safety arising out of or in connection with the activities of persons at work. It applies to all employers and employees who are involved in the production, processing, use, handling, storage or transport of electricity.</w:t>
      </w:r>
    </w:p>
    <w:p w14:paraId="1272739F" w14:textId="3EBD528B" w:rsidR="007C0C8A" w:rsidRPr="002B7781" w:rsidRDefault="007C0C8A" w:rsidP="008502B0">
      <w:pPr>
        <w:pStyle w:val="BodyText"/>
        <w:numPr>
          <w:ilvl w:val="0"/>
          <w:numId w:val="6"/>
        </w:numPr>
        <w:spacing w:before="60" w:after="60" w:line="240" w:lineRule="auto"/>
        <w:ind w:left="414" w:hanging="357"/>
        <w:rPr>
          <w:rFonts w:ascii="Century Gothic" w:hAnsi="Century Gothic"/>
          <w:lang w:eastAsia="en-ZA"/>
        </w:rPr>
      </w:pPr>
      <w:r w:rsidRPr="002B7781">
        <w:rPr>
          <w:rFonts w:ascii="Century Gothic" w:hAnsi="Century Gothic"/>
          <w:b/>
          <w:bCs/>
          <w:lang w:eastAsia="en-ZA"/>
        </w:rPr>
        <w:t>Municipal Electricity Supply By-law</w:t>
      </w:r>
      <w:r w:rsidRPr="002B7781">
        <w:rPr>
          <w:rFonts w:ascii="Century Gothic" w:hAnsi="Century Gothic"/>
          <w:lang w:eastAsia="en-ZA"/>
        </w:rPr>
        <w:t xml:space="preserve"> -  </w:t>
      </w:r>
      <w:r w:rsidR="008F1DAF" w:rsidRPr="00831A39">
        <w:rPr>
          <w:rFonts w:ascii="Century Gothic" w:hAnsi="Century Gothic"/>
          <w:lang w:eastAsia="en-ZA"/>
        </w:rPr>
        <w:t>B</w:t>
      </w:r>
      <w:r w:rsidRPr="002B7781">
        <w:rPr>
          <w:rFonts w:ascii="Century Gothic" w:hAnsi="Century Gothic"/>
          <w:lang w:eastAsia="en-ZA"/>
        </w:rPr>
        <w:t>y-law</w:t>
      </w:r>
      <w:r w:rsidR="008F1DAF">
        <w:rPr>
          <w:rFonts w:ascii="Century Gothic" w:hAnsi="Century Gothic"/>
          <w:lang w:eastAsia="en-ZA"/>
        </w:rPr>
        <w:t>s</w:t>
      </w:r>
      <w:r w:rsidRPr="002B7781">
        <w:rPr>
          <w:rFonts w:ascii="Century Gothic" w:hAnsi="Century Gothic"/>
          <w:lang w:eastAsia="en-ZA"/>
        </w:rPr>
        <w:t xml:space="preserve"> regulate the supply of electricity by a municipality to its customers within its area of jurisdiction. It also sets out the rights and obligations of both the municipality and its customers in relation to the provision of electricity services. It covers aspects such as tariffs, metering, billing, disconnection, reconnection, complaints and disputes.</w:t>
      </w:r>
    </w:p>
    <w:p w14:paraId="4BCA682A" w14:textId="77777777" w:rsidR="007C0C8A" w:rsidRPr="002B7781" w:rsidRDefault="007C0C8A" w:rsidP="008502B0">
      <w:pPr>
        <w:pStyle w:val="BodyText"/>
        <w:numPr>
          <w:ilvl w:val="0"/>
          <w:numId w:val="6"/>
        </w:numPr>
        <w:spacing w:before="60" w:after="60" w:line="240" w:lineRule="auto"/>
        <w:ind w:left="414" w:hanging="357"/>
        <w:rPr>
          <w:rFonts w:ascii="Century Gothic" w:hAnsi="Century Gothic"/>
          <w:lang w:eastAsia="en-ZA"/>
        </w:rPr>
      </w:pPr>
      <w:r w:rsidRPr="002B7781">
        <w:rPr>
          <w:rFonts w:ascii="Century Gothic" w:hAnsi="Century Gothic"/>
          <w:b/>
          <w:bCs/>
          <w:lang w:eastAsia="en-ZA"/>
        </w:rPr>
        <w:t>SANS 10142:</w:t>
      </w:r>
      <w:r w:rsidRPr="002B7781">
        <w:rPr>
          <w:rFonts w:ascii="Century Gothic" w:hAnsi="Century Gothic"/>
          <w:lang w:eastAsia="en-ZA"/>
        </w:rPr>
        <w:t xml:space="preserve"> All Parts - This is a South African national standard that covers the code of practice for the wiring of premises. It specifies the requirements for the design, selection, erection, inspection and testing of low-voltage electrical installations. It applies to all electrical installations operating at a nominal voltage not exceeding 1000 V AC or 1500 V DC.</w:t>
      </w:r>
    </w:p>
    <w:p w14:paraId="2F0ADF16" w14:textId="77777777" w:rsidR="007C0C8A" w:rsidRPr="002B7781" w:rsidRDefault="007C0C8A" w:rsidP="008502B0">
      <w:pPr>
        <w:pStyle w:val="BodyText"/>
        <w:numPr>
          <w:ilvl w:val="0"/>
          <w:numId w:val="6"/>
        </w:numPr>
        <w:spacing w:before="60" w:after="60" w:line="240" w:lineRule="auto"/>
        <w:ind w:left="414" w:hanging="357"/>
        <w:rPr>
          <w:rFonts w:ascii="Century Gothic" w:hAnsi="Century Gothic"/>
          <w:lang w:eastAsia="en-ZA"/>
        </w:rPr>
      </w:pPr>
      <w:r w:rsidRPr="002B7781">
        <w:rPr>
          <w:rFonts w:ascii="Century Gothic" w:hAnsi="Century Gothic"/>
          <w:b/>
          <w:bCs/>
          <w:lang w:eastAsia="en-ZA"/>
        </w:rPr>
        <w:t>SANS 474/NRS 057:</w:t>
      </w:r>
      <w:r w:rsidRPr="002B7781">
        <w:rPr>
          <w:rFonts w:ascii="Century Gothic" w:hAnsi="Century Gothic"/>
          <w:lang w:eastAsia="en-ZA"/>
        </w:rPr>
        <w:t xml:space="preserve"> Code of practice for electricity metering - This is a South African national standard that covers the code of practice for electricity metering. It specifies the requirements for the installation, commissioning, operation, maintenance and management of electricity metering systems. It applies to all types of electricity meters used for billing purposes by NSPs or other parties.</w:t>
      </w:r>
    </w:p>
    <w:p w14:paraId="4F1D21F0" w14:textId="4FFEE834" w:rsidR="007C0C8A" w:rsidRPr="002B7781" w:rsidRDefault="007C0C8A" w:rsidP="008502B0">
      <w:pPr>
        <w:pStyle w:val="BodyText"/>
        <w:numPr>
          <w:ilvl w:val="0"/>
          <w:numId w:val="6"/>
        </w:numPr>
        <w:spacing w:before="60" w:after="60" w:line="240" w:lineRule="auto"/>
        <w:ind w:left="414" w:hanging="357"/>
        <w:rPr>
          <w:rFonts w:ascii="Century Gothic" w:hAnsi="Century Gothic"/>
          <w:lang w:eastAsia="en-ZA"/>
        </w:rPr>
      </w:pPr>
      <w:r w:rsidRPr="002B7781">
        <w:rPr>
          <w:rFonts w:ascii="Century Gothic" w:hAnsi="Century Gothic"/>
          <w:b/>
          <w:bCs/>
          <w:lang w:eastAsia="en-ZA"/>
        </w:rPr>
        <w:lastRenderedPageBreak/>
        <w:t>NRS 097 Series</w:t>
      </w:r>
      <w:r w:rsidRPr="002B7781">
        <w:rPr>
          <w:rFonts w:ascii="Century Gothic" w:hAnsi="Century Gothic"/>
          <w:lang w:eastAsia="en-ZA"/>
        </w:rPr>
        <w:t xml:space="preserve"> - This is a series of national rationalised specifications that specify the technical requirements for connecting RPPs to the grid. It covers aspects such as protection, power quality, communication, testing and commissioning. It applies to all RPP technologies connected to or seeking connection to the TS or DS.</w:t>
      </w:r>
    </w:p>
    <w:p w14:paraId="2BABD0F3" w14:textId="40EC1ECE" w:rsidR="007C0C8A" w:rsidRPr="002B7781" w:rsidRDefault="007C0C8A" w:rsidP="008502B0">
      <w:pPr>
        <w:pStyle w:val="BodyText"/>
        <w:numPr>
          <w:ilvl w:val="0"/>
          <w:numId w:val="6"/>
        </w:numPr>
        <w:spacing w:before="60" w:after="60" w:line="240" w:lineRule="auto"/>
        <w:ind w:left="414" w:hanging="357"/>
        <w:rPr>
          <w:rFonts w:ascii="Century Gothic" w:hAnsi="Century Gothic"/>
          <w:lang w:eastAsia="en-ZA"/>
        </w:rPr>
      </w:pPr>
      <w:r w:rsidRPr="002B7781">
        <w:rPr>
          <w:rFonts w:ascii="Century Gothic" w:hAnsi="Century Gothic"/>
          <w:b/>
          <w:bCs/>
          <w:lang w:eastAsia="en-ZA"/>
        </w:rPr>
        <w:t>NRS 048 -</w:t>
      </w:r>
      <w:r w:rsidR="00071F75">
        <w:rPr>
          <w:rFonts w:ascii="Century Gothic" w:hAnsi="Century Gothic"/>
          <w:lang w:eastAsia="en-ZA"/>
        </w:rPr>
        <w:t xml:space="preserve"> O</w:t>
      </w:r>
      <w:r w:rsidRPr="002B7781">
        <w:rPr>
          <w:rFonts w:ascii="Century Gothic" w:hAnsi="Century Gothic"/>
          <w:lang w:eastAsia="en-ZA"/>
        </w:rPr>
        <w:t>utlines the quality of supply requirements, such as voltage levels, frequency, harmonics, flicker, and interruptions.</w:t>
      </w:r>
    </w:p>
    <w:p w14:paraId="70495E20" w14:textId="77777777" w:rsidR="00553ADF" w:rsidRDefault="007C0C8A" w:rsidP="008502B0">
      <w:pPr>
        <w:pStyle w:val="BodyText"/>
        <w:numPr>
          <w:ilvl w:val="0"/>
          <w:numId w:val="6"/>
        </w:numPr>
        <w:spacing w:before="60" w:after="60" w:line="240" w:lineRule="auto"/>
        <w:ind w:left="414" w:hanging="357"/>
        <w:rPr>
          <w:rFonts w:ascii="Century Gothic" w:hAnsi="Century Gothic"/>
          <w:lang w:eastAsia="en-ZA"/>
        </w:rPr>
      </w:pPr>
      <w:r w:rsidRPr="002B7781">
        <w:rPr>
          <w:rFonts w:ascii="Century Gothic" w:hAnsi="Century Gothic"/>
          <w:b/>
          <w:bCs/>
          <w:lang w:eastAsia="en-ZA"/>
        </w:rPr>
        <w:t>NRS049-5-</w:t>
      </w:r>
      <w:r w:rsidR="008C330C" w:rsidRPr="002B7781">
        <w:rPr>
          <w:rFonts w:ascii="Century Gothic" w:hAnsi="Century Gothic"/>
          <w:b/>
          <w:bCs/>
          <w:lang w:eastAsia="en-ZA"/>
        </w:rPr>
        <w:t>2 –</w:t>
      </w:r>
      <w:r w:rsidRPr="002B7781">
        <w:rPr>
          <w:rFonts w:ascii="Century Gothic" w:hAnsi="Century Gothic"/>
          <w:lang w:eastAsia="en-ZA"/>
        </w:rPr>
        <w:t xml:space="preserve"> </w:t>
      </w:r>
      <w:r w:rsidR="009E5EC7">
        <w:rPr>
          <w:rFonts w:ascii="Century Gothic" w:hAnsi="Century Gothic"/>
          <w:lang w:eastAsia="en-ZA"/>
        </w:rPr>
        <w:t xml:space="preserve">Device security </w:t>
      </w:r>
      <w:r w:rsidR="007E1CCC">
        <w:rPr>
          <w:rFonts w:ascii="Century Gothic" w:hAnsi="Century Gothic"/>
          <w:lang w:eastAsia="en-ZA"/>
        </w:rPr>
        <w:t>requirements including</w:t>
      </w:r>
      <w:r w:rsidR="00477DA1" w:rsidRPr="002B7781">
        <w:rPr>
          <w:rFonts w:ascii="Century Gothic" w:hAnsi="Century Gothic"/>
          <w:lang w:eastAsia="en-ZA"/>
        </w:rPr>
        <w:t xml:space="preserve"> security</w:t>
      </w:r>
      <w:r w:rsidRPr="002B7781">
        <w:rPr>
          <w:rFonts w:ascii="Century Gothic" w:hAnsi="Century Gothic"/>
          <w:lang w:eastAsia="en-ZA"/>
        </w:rPr>
        <w:t xml:space="preserve"> keys</w:t>
      </w:r>
    </w:p>
    <w:p w14:paraId="542AA10D" w14:textId="37422708" w:rsidR="007C0C8A" w:rsidRPr="008502B0" w:rsidRDefault="007C0C8A" w:rsidP="008C330C">
      <w:pPr>
        <w:pStyle w:val="BodyText"/>
        <w:numPr>
          <w:ilvl w:val="0"/>
          <w:numId w:val="6"/>
        </w:numPr>
        <w:spacing w:before="60" w:after="60" w:line="240" w:lineRule="auto"/>
        <w:ind w:left="414" w:hanging="357"/>
        <w:rPr>
          <w:rFonts w:ascii="Century Gothic" w:hAnsi="Century Gothic"/>
          <w:lang w:eastAsia="en-ZA"/>
        </w:rPr>
      </w:pPr>
      <w:r w:rsidRPr="00332397">
        <w:rPr>
          <w:rFonts w:ascii="Century Gothic" w:hAnsi="Century Gothic"/>
          <w:b/>
          <w:bCs/>
          <w:lang w:eastAsia="en-ZA"/>
        </w:rPr>
        <w:t>SANS473</w:t>
      </w:r>
      <w:r w:rsidR="00553ADF" w:rsidRPr="00332397">
        <w:rPr>
          <w:rFonts w:ascii="Century Gothic" w:hAnsi="Century Gothic"/>
          <w:b/>
          <w:bCs/>
          <w:lang w:eastAsia="en-ZA"/>
        </w:rPr>
        <w:t xml:space="preserve"> -</w:t>
      </w:r>
      <w:r w:rsidR="00553ADF" w:rsidRPr="00332397">
        <w:rPr>
          <w:rFonts w:ascii="Century Gothic" w:hAnsi="Century Gothic"/>
          <w:lang w:eastAsia="en-ZA"/>
        </w:rPr>
        <w:t xml:space="preserve"> Automated meter reading for large power users</w:t>
      </w:r>
      <w:r w:rsidR="00332397" w:rsidRPr="00332397">
        <w:rPr>
          <w:rFonts w:ascii="Century Gothic" w:hAnsi="Century Gothic"/>
          <w:lang w:eastAsia="en-ZA"/>
        </w:rPr>
        <w:t xml:space="preserve">. This specification is applicable to automated meter reading (AMR) systems in South Africa for large power users as defined by the relevant electricity supply authority. This specification does not </w:t>
      </w:r>
      <w:r w:rsidR="008502B0" w:rsidRPr="00332397">
        <w:rPr>
          <w:rFonts w:ascii="Century Gothic" w:hAnsi="Century Gothic"/>
          <w:lang w:eastAsia="en-ZA"/>
        </w:rPr>
        <w:t xml:space="preserve">cover </w:t>
      </w:r>
      <w:r w:rsidR="008502B0">
        <w:rPr>
          <w:rFonts w:ascii="Century Gothic" w:hAnsi="Century Gothic"/>
          <w:lang w:eastAsia="en-ZA"/>
        </w:rPr>
        <w:t>the</w:t>
      </w:r>
      <w:r w:rsidR="00332397" w:rsidRPr="00332397">
        <w:rPr>
          <w:rFonts w:ascii="Century Gothic" w:hAnsi="Century Gothic"/>
          <w:lang w:eastAsia="en-ZA"/>
        </w:rPr>
        <w:t xml:space="preserve"> communication system between the AMR meter and the remote master station.</w:t>
      </w:r>
    </w:p>
    <w:p w14:paraId="71716E47" w14:textId="51C20428" w:rsidR="008D1ECA" w:rsidRPr="008502B0" w:rsidRDefault="00EB5FBA" w:rsidP="00D6210D">
      <w:pPr>
        <w:pStyle w:val="Heading1"/>
      </w:pPr>
      <w:bookmarkStart w:id="56" w:name="_Toc145484208"/>
      <w:r>
        <w:t>Annexure B</w:t>
      </w:r>
      <w:r w:rsidR="00D6210D">
        <w:t xml:space="preserve"> </w:t>
      </w:r>
      <w:r w:rsidR="005720AD">
        <w:t>-</w:t>
      </w:r>
      <w:r w:rsidR="00D6210D">
        <w:t xml:space="preserve"> </w:t>
      </w:r>
      <w:r w:rsidR="00563D40">
        <w:t>Qualifying Criteria Illustrative Examples</w:t>
      </w:r>
      <w:bookmarkEnd w:id="56"/>
    </w:p>
    <w:p w14:paraId="3867D9F8" w14:textId="4A27DAE2" w:rsidR="008D1ECA" w:rsidRPr="00831A39" w:rsidRDefault="008D1ECA" w:rsidP="00D6210D">
      <w:pPr>
        <w:rPr>
          <w:rFonts w:ascii="Century Gothic" w:hAnsi="Century Gothic"/>
          <w:sz w:val="24"/>
          <w:szCs w:val="24"/>
          <w:u w:val="single"/>
        </w:rPr>
      </w:pPr>
      <w:r w:rsidRPr="00831A39">
        <w:rPr>
          <w:rFonts w:ascii="Century Gothic" w:hAnsi="Century Gothic"/>
          <w:sz w:val="24"/>
          <w:szCs w:val="24"/>
          <w:u w:val="single"/>
        </w:rPr>
        <w:t>Below are examples from two municipalities of the criteria that must be met before wheeling will be approved – each municipality may have their own requirements.</w:t>
      </w:r>
    </w:p>
    <w:p w14:paraId="71AAABAF" w14:textId="78D5AD57" w:rsidR="00D6210D" w:rsidRPr="00563D40" w:rsidRDefault="00D6210D" w:rsidP="00D6210D">
      <w:pPr>
        <w:rPr>
          <w:rFonts w:ascii="Century Gothic" w:hAnsi="Century Gothic"/>
          <w:b/>
          <w:bCs/>
          <w:sz w:val="24"/>
          <w:szCs w:val="24"/>
          <w:u w:val="single"/>
        </w:rPr>
      </w:pPr>
      <w:r w:rsidRPr="00563D40">
        <w:rPr>
          <w:rFonts w:ascii="Century Gothic" w:hAnsi="Century Gothic"/>
          <w:b/>
          <w:bCs/>
          <w:sz w:val="24"/>
          <w:szCs w:val="24"/>
          <w:u w:val="single"/>
        </w:rPr>
        <w:t xml:space="preserve">City of Ekurhuleni: </w:t>
      </w:r>
    </w:p>
    <w:p w14:paraId="3B894CF0" w14:textId="77777777" w:rsidR="00D6210D" w:rsidRPr="001E137C" w:rsidRDefault="00D6210D" w:rsidP="00BB1DB0">
      <w:pPr>
        <w:spacing w:beforeLines="60" w:before="144" w:afterLines="60" w:after="144" w:line="240" w:lineRule="auto"/>
        <w:ind w:left="357" w:hanging="357"/>
        <w:rPr>
          <w:rFonts w:ascii="Century Gothic" w:hAnsi="Century Gothic"/>
        </w:rPr>
      </w:pPr>
      <w:r w:rsidRPr="001E137C">
        <w:rPr>
          <w:rFonts w:ascii="Century Gothic" w:hAnsi="Century Gothic"/>
        </w:rPr>
        <w:t>A - Eskom Transmission/Distribution Connected generators and wheeled to a customer</w:t>
      </w:r>
    </w:p>
    <w:p w14:paraId="1D59707A" w14:textId="5B2B9190" w:rsidR="00D6210D" w:rsidRPr="001E137C" w:rsidRDefault="00D6210D" w:rsidP="00BB1DB0">
      <w:pPr>
        <w:spacing w:beforeLines="60" w:before="144" w:afterLines="60" w:after="144" w:line="240" w:lineRule="auto"/>
        <w:ind w:left="357" w:hanging="357"/>
        <w:rPr>
          <w:rFonts w:ascii="Century Gothic" w:hAnsi="Century Gothic"/>
        </w:rPr>
      </w:pPr>
      <w:r w:rsidRPr="001E137C">
        <w:rPr>
          <w:rFonts w:ascii="Century Gothic" w:hAnsi="Century Gothic"/>
        </w:rPr>
        <w:t>situated within the City’s licenced distribution network</w:t>
      </w:r>
      <w:r w:rsidR="00AF5804">
        <w:rPr>
          <w:rFonts w:ascii="Century Gothic" w:hAnsi="Century Gothic"/>
        </w:rPr>
        <w:t>:</w:t>
      </w:r>
    </w:p>
    <w:p w14:paraId="0B3CB145" w14:textId="77777777" w:rsidR="00D6210D" w:rsidRPr="00576D20" w:rsidRDefault="00D6210D" w:rsidP="00871EE8">
      <w:pPr>
        <w:pStyle w:val="ListParagraph"/>
        <w:numPr>
          <w:ilvl w:val="0"/>
          <w:numId w:val="32"/>
        </w:numPr>
        <w:spacing w:beforeLines="60" w:before="144" w:afterLines="60" w:after="144" w:line="240" w:lineRule="auto"/>
        <w:contextualSpacing w:val="0"/>
        <w:jc w:val="both"/>
        <w:rPr>
          <w:rFonts w:ascii="Century Gothic" w:hAnsi="Century Gothic"/>
        </w:rPr>
      </w:pPr>
      <w:r w:rsidRPr="00576D20">
        <w:rPr>
          <w:rFonts w:ascii="Century Gothic" w:hAnsi="Century Gothic"/>
        </w:rPr>
        <w:t>Only consumers on the City Tariff D or Tariff J, connected at a ≥ 6.6 kV with a notified maximum demand (NMD) of ≥ 1MVA that have entered into a wheeling transaction with a generator or energy trader will qualify for wheeling.</w:t>
      </w:r>
    </w:p>
    <w:p w14:paraId="32695957" w14:textId="77777777" w:rsidR="00D6210D" w:rsidRPr="00576D20" w:rsidRDefault="00D6210D" w:rsidP="00871EE8">
      <w:pPr>
        <w:pStyle w:val="ListParagraph"/>
        <w:numPr>
          <w:ilvl w:val="0"/>
          <w:numId w:val="16"/>
        </w:numPr>
        <w:spacing w:beforeLines="60" w:before="144" w:afterLines="60" w:after="144" w:line="240" w:lineRule="auto"/>
        <w:contextualSpacing w:val="0"/>
        <w:jc w:val="both"/>
        <w:rPr>
          <w:rFonts w:ascii="Century Gothic" w:hAnsi="Century Gothic"/>
        </w:rPr>
      </w:pPr>
      <w:r w:rsidRPr="00576D20">
        <w:rPr>
          <w:rFonts w:ascii="Century Gothic" w:hAnsi="Century Gothic"/>
        </w:rPr>
        <w:t>For Tariff D consumer, the following shall apply:</w:t>
      </w:r>
    </w:p>
    <w:p w14:paraId="0E953E11" w14:textId="77777777" w:rsidR="00D6210D" w:rsidRPr="00576D20" w:rsidRDefault="00D6210D" w:rsidP="00BB1DB0">
      <w:pPr>
        <w:pStyle w:val="ListParagraph"/>
        <w:spacing w:beforeLines="60" w:before="144" w:afterLines="60" w:after="144" w:line="240" w:lineRule="auto"/>
        <w:ind w:left="1080"/>
        <w:contextualSpacing w:val="0"/>
        <w:rPr>
          <w:rFonts w:ascii="Century Gothic" w:hAnsi="Century Gothic"/>
        </w:rPr>
      </w:pPr>
      <w:r w:rsidRPr="00576D20">
        <w:rPr>
          <w:rFonts w:ascii="Century Gothic" w:hAnsi="Century Gothic"/>
        </w:rPr>
        <w:t>Where a consumer with an existing wheeling agreement commences with a network access charge (NAC) value ≥ 1MVA, and thereafter consumes less than 1 MVA, the schedule of tariff rules for Tariff D shall apply i.e., the NAC value will continue to be levied at a minimum of ≥1 MVA and the consumer shall remain on Tariff D for 12 months. Thereafter the customer will be moved to tariff E. In order to continue to qualify for wheeling the NAC value will continue to be levied at a minimum of 1 MVA.</w:t>
      </w:r>
    </w:p>
    <w:p w14:paraId="0E7AD564" w14:textId="77777777" w:rsidR="00D6210D" w:rsidRPr="00576D20" w:rsidRDefault="00D6210D" w:rsidP="00871EE8">
      <w:pPr>
        <w:pStyle w:val="ListParagraph"/>
        <w:numPr>
          <w:ilvl w:val="0"/>
          <w:numId w:val="16"/>
        </w:numPr>
        <w:spacing w:beforeLines="60" w:before="144" w:afterLines="60" w:after="144" w:line="240" w:lineRule="auto"/>
        <w:contextualSpacing w:val="0"/>
        <w:jc w:val="both"/>
        <w:rPr>
          <w:rFonts w:ascii="Century Gothic" w:hAnsi="Century Gothic"/>
        </w:rPr>
      </w:pPr>
      <w:r w:rsidRPr="00576D20">
        <w:rPr>
          <w:rFonts w:ascii="Century Gothic" w:hAnsi="Century Gothic"/>
        </w:rPr>
        <w:t>For Tariff J consumer, the following shall apply:</w:t>
      </w:r>
    </w:p>
    <w:p w14:paraId="19590E2F" w14:textId="77777777" w:rsidR="00D6210D" w:rsidRPr="00576D20" w:rsidRDefault="00D6210D" w:rsidP="00BB1DB0">
      <w:pPr>
        <w:pStyle w:val="ListParagraph"/>
        <w:spacing w:beforeLines="60" w:before="144" w:afterLines="60" w:after="144" w:line="240" w:lineRule="auto"/>
        <w:ind w:left="1080"/>
        <w:contextualSpacing w:val="0"/>
        <w:rPr>
          <w:rFonts w:ascii="Century Gothic" w:hAnsi="Century Gothic"/>
        </w:rPr>
      </w:pPr>
      <w:r w:rsidRPr="00576D20">
        <w:rPr>
          <w:rFonts w:ascii="Century Gothic" w:hAnsi="Century Gothic"/>
        </w:rPr>
        <w:t>Where a consumer with an existing wheeling agreement commences with a network access charge (NAC) value ≥ 1MVA, and thereafter consumes less than 1 MVA, the NAC value will continue to be levied at a minimum of 1 MVA and the consumer shall remain on Tariff J in order to continue to qualify for wheeling.</w:t>
      </w:r>
    </w:p>
    <w:p w14:paraId="0881E50A" w14:textId="77777777" w:rsidR="00D6210D" w:rsidRPr="00576D20" w:rsidRDefault="00D6210D" w:rsidP="00871EE8">
      <w:pPr>
        <w:pStyle w:val="ListParagraph"/>
        <w:numPr>
          <w:ilvl w:val="0"/>
          <w:numId w:val="15"/>
        </w:numPr>
        <w:spacing w:beforeLines="60" w:before="144" w:afterLines="60" w:after="144" w:line="240" w:lineRule="auto"/>
        <w:contextualSpacing w:val="0"/>
        <w:jc w:val="both"/>
        <w:rPr>
          <w:rFonts w:ascii="Century Gothic" w:hAnsi="Century Gothic"/>
        </w:rPr>
      </w:pPr>
      <w:r w:rsidRPr="00576D20">
        <w:rPr>
          <w:rFonts w:ascii="Century Gothic" w:hAnsi="Century Gothic"/>
        </w:rPr>
        <w:t>Any wheeling agreement is subject to the City and the consumer entering into a written wheeling agreement and/or a written amendment of any existing consumer/supply agreement for wheeling whereupon Tariff G will in addition to the aforesaid tariffs apply.</w:t>
      </w:r>
    </w:p>
    <w:p w14:paraId="7A3C5A71" w14:textId="77777777" w:rsidR="00D6210D" w:rsidRPr="00576D20" w:rsidRDefault="00D6210D" w:rsidP="00871EE8">
      <w:pPr>
        <w:pStyle w:val="ListParagraph"/>
        <w:numPr>
          <w:ilvl w:val="0"/>
          <w:numId w:val="15"/>
        </w:numPr>
        <w:spacing w:beforeLines="60" w:before="144" w:afterLines="60" w:after="144" w:line="240" w:lineRule="auto"/>
        <w:contextualSpacing w:val="0"/>
        <w:jc w:val="both"/>
        <w:rPr>
          <w:rFonts w:ascii="Century Gothic" w:hAnsi="Century Gothic"/>
        </w:rPr>
      </w:pPr>
      <w:r w:rsidRPr="00576D20">
        <w:rPr>
          <w:rFonts w:ascii="Century Gothic" w:hAnsi="Century Gothic"/>
        </w:rPr>
        <w:t>The aforementioned agreement together with the City by-laws, policies and tariffs, will record the terms and conditions by which the consumer account will be adjusted with the wheeled energy as per Tariff G.</w:t>
      </w:r>
    </w:p>
    <w:p w14:paraId="78668886" w14:textId="77777777" w:rsidR="00D6210D" w:rsidRPr="00576D20" w:rsidRDefault="00D6210D" w:rsidP="00871EE8">
      <w:pPr>
        <w:pStyle w:val="ListParagraph"/>
        <w:numPr>
          <w:ilvl w:val="0"/>
          <w:numId w:val="15"/>
        </w:numPr>
        <w:spacing w:beforeLines="60" w:before="144" w:afterLines="60" w:after="144" w:line="240" w:lineRule="auto"/>
        <w:contextualSpacing w:val="0"/>
        <w:jc w:val="both"/>
        <w:rPr>
          <w:rFonts w:ascii="Century Gothic" w:hAnsi="Century Gothic"/>
        </w:rPr>
      </w:pPr>
      <w:r w:rsidRPr="00576D20">
        <w:rPr>
          <w:rFonts w:ascii="Century Gothic" w:hAnsi="Century Gothic"/>
        </w:rPr>
        <w:t>No wheeling agreement as aforesaid will come into effect prior to the City entering into a wheeling amendment agreement with Eskom in respect thereof if the generator is located outside the City’s licensed area of supply/distribution and the generator is connected to Eskom’s Transmission grid.</w:t>
      </w:r>
    </w:p>
    <w:p w14:paraId="1090770A" w14:textId="22A2A959" w:rsidR="00D6210D" w:rsidRPr="00576D20" w:rsidRDefault="00D6210D" w:rsidP="00871EE8">
      <w:pPr>
        <w:pStyle w:val="ListParagraph"/>
        <w:numPr>
          <w:ilvl w:val="0"/>
          <w:numId w:val="15"/>
        </w:numPr>
        <w:spacing w:beforeLines="60" w:before="144" w:afterLines="60" w:after="144" w:line="240" w:lineRule="auto"/>
        <w:contextualSpacing w:val="0"/>
        <w:jc w:val="both"/>
        <w:rPr>
          <w:rFonts w:ascii="Century Gothic" w:hAnsi="Century Gothic"/>
        </w:rPr>
      </w:pPr>
      <w:r w:rsidRPr="00576D20">
        <w:rPr>
          <w:rFonts w:ascii="Century Gothic" w:hAnsi="Century Gothic"/>
        </w:rPr>
        <w:t xml:space="preserve">Generator </w:t>
      </w:r>
      <w:r w:rsidR="00B41A16" w:rsidRPr="00576D20">
        <w:rPr>
          <w:rFonts w:ascii="Century Gothic" w:hAnsi="Century Gothic"/>
        </w:rPr>
        <w:t>requirements</w:t>
      </w:r>
      <w:r w:rsidRPr="00576D20">
        <w:rPr>
          <w:rFonts w:ascii="Century Gothic" w:hAnsi="Century Gothic"/>
        </w:rPr>
        <w:t>:</w:t>
      </w:r>
    </w:p>
    <w:p w14:paraId="113385F0" w14:textId="77777777" w:rsidR="00D6210D" w:rsidRPr="00576D20" w:rsidRDefault="00D6210D" w:rsidP="00871EE8">
      <w:pPr>
        <w:pStyle w:val="ListParagraph"/>
        <w:numPr>
          <w:ilvl w:val="1"/>
          <w:numId w:val="15"/>
        </w:numPr>
        <w:spacing w:beforeLines="60" w:before="144" w:afterLines="60" w:after="144" w:line="240" w:lineRule="auto"/>
        <w:contextualSpacing w:val="0"/>
        <w:jc w:val="both"/>
        <w:rPr>
          <w:rFonts w:ascii="Century Gothic" w:hAnsi="Century Gothic"/>
        </w:rPr>
      </w:pPr>
      <w:r w:rsidRPr="00576D20">
        <w:rPr>
          <w:rFonts w:ascii="Century Gothic" w:hAnsi="Century Gothic"/>
        </w:rPr>
        <w:lastRenderedPageBreak/>
        <w:t>The generator must conclude a generation connection agreement with Eskom if the generator is connected to Eskom Transmission / Distribution grid;</w:t>
      </w:r>
    </w:p>
    <w:p w14:paraId="00A610B9" w14:textId="77777777" w:rsidR="00D6210D" w:rsidRPr="00576D20" w:rsidRDefault="00D6210D" w:rsidP="00871EE8">
      <w:pPr>
        <w:pStyle w:val="ListParagraph"/>
        <w:numPr>
          <w:ilvl w:val="1"/>
          <w:numId w:val="15"/>
        </w:numPr>
        <w:spacing w:beforeLines="60" w:before="144" w:afterLines="60" w:after="144" w:line="240" w:lineRule="auto"/>
        <w:contextualSpacing w:val="0"/>
        <w:jc w:val="both"/>
        <w:rPr>
          <w:rFonts w:ascii="Century Gothic" w:hAnsi="Century Gothic"/>
        </w:rPr>
      </w:pPr>
      <w:r w:rsidRPr="00576D20">
        <w:rPr>
          <w:rFonts w:ascii="Century Gothic" w:hAnsi="Century Gothic"/>
        </w:rPr>
        <w:t>The generator and/or energy trader must conclude a wheeling (use-of-system) agreement with Eskom if the generator is connected to Eskom Transmission / Distribution grid;</w:t>
      </w:r>
    </w:p>
    <w:p w14:paraId="7DDC3616" w14:textId="77777777" w:rsidR="00D6210D" w:rsidRPr="00576D20" w:rsidRDefault="00D6210D" w:rsidP="00871EE8">
      <w:pPr>
        <w:pStyle w:val="ListParagraph"/>
        <w:numPr>
          <w:ilvl w:val="0"/>
          <w:numId w:val="15"/>
        </w:numPr>
        <w:spacing w:beforeLines="60" w:before="144" w:afterLines="60" w:after="144" w:line="240" w:lineRule="auto"/>
        <w:contextualSpacing w:val="0"/>
        <w:jc w:val="both"/>
        <w:rPr>
          <w:rFonts w:ascii="Century Gothic" w:hAnsi="Century Gothic"/>
        </w:rPr>
      </w:pPr>
      <w:r w:rsidRPr="00576D20">
        <w:rPr>
          <w:rFonts w:ascii="Century Gothic" w:hAnsi="Century Gothic"/>
        </w:rPr>
        <w:t>The generator or energy trader must provide the City with a copy of the Wheeling / Connection agreements entered into between the generator and or energy trader and Eskom, and a copy of the power purchase agreement entered into between the generator or energy trader and the consumer.</w:t>
      </w:r>
    </w:p>
    <w:p w14:paraId="0413E2A2" w14:textId="77777777" w:rsidR="00D6210D" w:rsidRPr="00576D20" w:rsidRDefault="00D6210D" w:rsidP="00871EE8">
      <w:pPr>
        <w:pStyle w:val="ListParagraph"/>
        <w:numPr>
          <w:ilvl w:val="0"/>
          <w:numId w:val="15"/>
        </w:numPr>
        <w:spacing w:beforeLines="60" w:before="144" w:afterLines="60" w:after="144" w:line="240" w:lineRule="auto"/>
        <w:contextualSpacing w:val="0"/>
        <w:jc w:val="both"/>
        <w:rPr>
          <w:rFonts w:ascii="Century Gothic" w:hAnsi="Century Gothic"/>
        </w:rPr>
      </w:pPr>
      <w:r w:rsidRPr="00576D20">
        <w:rPr>
          <w:rFonts w:ascii="Century Gothic" w:hAnsi="Century Gothic"/>
        </w:rPr>
        <w:t>The generator must meet all the SA Grid Code requirements before injecting energy into the South African power system, including technical, legal and contractual requirements.</w:t>
      </w:r>
    </w:p>
    <w:p w14:paraId="09EA0A71" w14:textId="77777777" w:rsidR="00D6210D" w:rsidRPr="00576D20" w:rsidRDefault="00D6210D" w:rsidP="00871EE8">
      <w:pPr>
        <w:pStyle w:val="ListParagraph"/>
        <w:numPr>
          <w:ilvl w:val="0"/>
          <w:numId w:val="15"/>
        </w:numPr>
        <w:spacing w:beforeLines="60" w:before="144" w:afterLines="60" w:after="144" w:line="240" w:lineRule="auto"/>
        <w:contextualSpacing w:val="0"/>
        <w:jc w:val="both"/>
        <w:rPr>
          <w:rFonts w:ascii="Century Gothic" w:hAnsi="Century Gothic"/>
        </w:rPr>
      </w:pPr>
      <w:r w:rsidRPr="00576D20">
        <w:rPr>
          <w:rFonts w:ascii="Century Gothic" w:hAnsi="Century Gothic"/>
        </w:rPr>
        <w:t>The City will wheel electricity through the City grid (supply mains/distribution and/or reticulation network) from Eskom’s point of delivery to the consumer metering point. The City shall provide, install and maintain four quadrant metering equipment at the costs of the consumer to measure the electricity at each metering point.</w:t>
      </w:r>
    </w:p>
    <w:p w14:paraId="729F3D41" w14:textId="77777777" w:rsidR="00D6210D" w:rsidRPr="00576D20" w:rsidRDefault="00D6210D" w:rsidP="00871EE8">
      <w:pPr>
        <w:pStyle w:val="ListParagraph"/>
        <w:numPr>
          <w:ilvl w:val="0"/>
          <w:numId w:val="15"/>
        </w:numPr>
        <w:spacing w:beforeLines="60" w:before="144" w:afterLines="60" w:after="144" w:line="240" w:lineRule="auto"/>
        <w:contextualSpacing w:val="0"/>
        <w:jc w:val="both"/>
        <w:rPr>
          <w:rFonts w:ascii="Century Gothic" w:hAnsi="Century Gothic"/>
        </w:rPr>
      </w:pPr>
      <w:r w:rsidRPr="00576D20">
        <w:rPr>
          <w:rFonts w:ascii="Century Gothic" w:hAnsi="Century Gothic"/>
        </w:rPr>
        <w:t>No wheeling agreement will be entered into with a consumer or connection and use-of-system agreement with the generator and energy trader if the network capacity of the City’s grid (supply mains/distribution and/or reticulation network) and/or Eskom grid will be exceeded as a result thereof.</w:t>
      </w:r>
    </w:p>
    <w:p w14:paraId="61FDED42" w14:textId="77777777" w:rsidR="00D6210D" w:rsidRPr="001E137C" w:rsidRDefault="00D6210D" w:rsidP="00BB1DB0">
      <w:pPr>
        <w:spacing w:beforeLines="60" w:before="144" w:afterLines="60" w:after="144" w:line="240" w:lineRule="auto"/>
        <w:rPr>
          <w:rFonts w:ascii="Century Gothic" w:hAnsi="Century Gothic"/>
        </w:rPr>
      </w:pPr>
      <w:r w:rsidRPr="001E137C">
        <w:rPr>
          <w:rFonts w:ascii="Century Gothic" w:hAnsi="Century Gothic"/>
        </w:rPr>
        <w:t>B - City of Ekurhuleni Distribution Connected generators and wheeled to a customer situated within the City’s licenced distribution network.</w:t>
      </w:r>
    </w:p>
    <w:p w14:paraId="6583E68C" w14:textId="55478EA7" w:rsidR="00D6210D" w:rsidRPr="00576D20" w:rsidRDefault="00A546FC" w:rsidP="00871EE8">
      <w:pPr>
        <w:pStyle w:val="ListParagraph"/>
        <w:numPr>
          <w:ilvl w:val="0"/>
          <w:numId w:val="17"/>
        </w:numPr>
        <w:spacing w:beforeLines="60" w:before="144" w:afterLines="60" w:after="144" w:line="240" w:lineRule="auto"/>
        <w:contextualSpacing w:val="0"/>
        <w:jc w:val="both"/>
        <w:rPr>
          <w:rFonts w:ascii="Century Gothic" w:hAnsi="Century Gothic"/>
        </w:rPr>
      </w:pPr>
      <w:r w:rsidRPr="00576D20">
        <w:rPr>
          <w:rFonts w:ascii="Century Gothic" w:hAnsi="Century Gothic"/>
        </w:rPr>
        <w:t>Only</w:t>
      </w:r>
      <w:r w:rsidR="00D6210D" w:rsidRPr="00576D20">
        <w:rPr>
          <w:rFonts w:ascii="Century Gothic" w:hAnsi="Century Gothic"/>
        </w:rPr>
        <w:t xml:space="preserve"> consumers on the City’s Tariff D or Tariff J, connected at ≥ 6.6 kV with a notified maximum demand (NMD) of ≥ 1MVA that have entered into a wheeling transaction with a generator or energy trader will qualify for wheeling.</w:t>
      </w:r>
    </w:p>
    <w:p w14:paraId="10308671" w14:textId="77777777" w:rsidR="00D6210D" w:rsidRPr="00576D20" w:rsidRDefault="00D6210D" w:rsidP="00871EE8">
      <w:pPr>
        <w:pStyle w:val="ListParagraph"/>
        <w:numPr>
          <w:ilvl w:val="0"/>
          <w:numId w:val="17"/>
        </w:numPr>
        <w:spacing w:beforeLines="60" w:before="144" w:afterLines="60" w:after="144" w:line="240" w:lineRule="auto"/>
        <w:contextualSpacing w:val="0"/>
        <w:jc w:val="both"/>
        <w:rPr>
          <w:rFonts w:ascii="Century Gothic" w:hAnsi="Century Gothic"/>
        </w:rPr>
      </w:pPr>
      <w:r w:rsidRPr="00576D20">
        <w:rPr>
          <w:rFonts w:ascii="Century Gothic" w:hAnsi="Century Gothic"/>
        </w:rPr>
        <w:t>Tariff specific items</w:t>
      </w:r>
    </w:p>
    <w:p w14:paraId="30A26103" w14:textId="3219A5BD" w:rsidR="00D6210D" w:rsidRPr="00576D20" w:rsidRDefault="00D6210D" w:rsidP="00871EE8">
      <w:pPr>
        <w:pStyle w:val="ListParagraph"/>
        <w:numPr>
          <w:ilvl w:val="0"/>
          <w:numId w:val="18"/>
        </w:numPr>
        <w:spacing w:beforeLines="60" w:before="144" w:afterLines="60" w:after="144" w:line="240" w:lineRule="auto"/>
        <w:contextualSpacing w:val="0"/>
        <w:jc w:val="both"/>
        <w:rPr>
          <w:rFonts w:ascii="Century Gothic" w:hAnsi="Century Gothic"/>
        </w:rPr>
      </w:pPr>
      <w:r w:rsidRPr="00576D20">
        <w:rPr>
          <w:rFonts w:ascii="Century Gothic" w:hAnsi="Century Gothic"/>
        </w:rPr>
        <w:t>For Tariff D consumer, the following shall apply: Where a consumer with an existing wheeling agreement commence</w:t>
      </w:r>
      <w:r w:rsidR="00146F28">
        <w:rPr>
          <w:rFonts w:ascii="Century Gothic" w:hAnsi="Century Gothic"/>
        </w:rPr>
        <w:t>s</w:t>
      </w:r>
      <w:r w:rsidRPr="00576D20">
        <w:rPr>
          <w:rFonts w:ascii="Century Gothic" w:hAnsi="Century Gothic"/>
        </w:rPr>
        <w:t xml:space="preserve"> with a network access charge (NAC) value ≥ 1MVA, and thereafter consumes less than 1 MVA, the schedule of tariff rules for Tariff D shall apply i.e. the NAC value will continue to be levied at a minimum of 1 MVA and the consumer shall remain on Tariff D for 12 months. Thereafter the customer will be moved to tariff E. In order to continue to qualify for wheeling the NAC value will continue to be levied at a minimum of 1 MVA.</w:t>
      </w:r>
    </w:p>
    <w:p w14:paraId="60708043" w14:textId="14DBA99D" w:rsidR="00D6210D" w:rsidRPr="00576D20" w:rsidRDefault="00D6210D" w:rsidP="00871EE8">
      <w:pPr>
        <w:pStyle w:val="ListParagraph"/>
        <w:numPr>
          <w:ilvl w:val="0"/>
          <w:numId w:val="18"/>
        </w:numPr>
        <w:spacing w:beforeLines="60" w:before="144" w:afterLines="60" w:after="144" w:line="240" w:lineRule="auto"/>
        <w:contextualSpacing w:val="0"/>
        <w:jc w:val="both"/>
        <w:rPr>
          <w:rFonts w:ascii="Century Gothic" w:hAnsi="Century Gothic"/>
        </w:rPr>
      </w:pPr>
      <w:r w:rsidRPr="00576D20">
        <w:rPr>
          <w:rFonts w:ascii="Century Gothic" w:hAnsi="Century Gothic"/>
        </w:rPr>
        <w:t>For Tariff J consumer, the following shall apply: Where a consumer with an existing wheeling agreement commence</w:t>
      </w:r>
      <w:r w:rsidR="00146F28">
        <w:rPr>
          <w:rFonts w:ascii="Century Gothic" w:hAnsi="Century Gothic"/>
        </w:rPr>
        <w:t>s</w:t>
      </w:r>
      <w:r w:rsidRPr="00576D20">
        <w:rPr>
          <w:rFonts w:ascii="Century Gothic" w:hAnsi="Century Gothic"/>
        </w:rPr>
        <w:t xml:space="preserve"> with a network access charge (NAC) value ≥ 1MVA, and thereafter consumes less than 1 MVA, the NAC value will continue to be levied at a minimum of 1 MVA and the consumer shall remain on Tariff J in order to continue to qualify for wheeling.</w:t>
      </w:r>
    </w:p>
    <w:p w14:paraId="56F571D1" w14:textId="77777777" w:rsidR="00D6210D" w:rsidRPr="00576D20" w:rsidRDefault="00D6210D" w:rsidP="00871EE8">
      <w:pPr>
        <w:pStyle w:val="ListParagraph"/>
        <w:numPr>
          <w:ilvl w:val="0"/>
          <w:numId w:val="17"/>
        </w:numPr>
        <w:spacing w:beforeLines="60" w:before="144" w:afterLines="60" w:after="144" w:line="240" w:lineRule="auto"/>
        <w:contextualSpacing w:val="0"/>
        <w:jc w:val="both"/>
        <w:rPr>
          <w:rFonts w:ascii="Century Gothic" w:hAnsi="Century Gothic"/>
        </w:rPr>
      </w:pPr>
      <w:r w:rsidRPr="00576D20">
        <w:rPr>
          <w:rFonts w:ascii="Century Gothic" w:hAnsi="Century Gothic"/>
        </w:rPr>
        <w:t>Any wheeling agreement is subject to the City and the consumer entering into a written wheeling agreement and/or a written amendment of any existing consumer/supply agreement for wheeling whereupon Tariff G will in addition to the aforesaid tariffs apply.</w:t>
      </w:r>
    </w:p>
    <w:p w14:paraId="211C32D9" w14:textId="77777777" w:rsidR="00D6210D" w:rsidRPr="00576D20" w:rsidRDefault="00D6210D" w:rsidP="00871EE8">
      <w:pPr>
        <w:pStyle w:val="ListParagraph"/>
        <w:numPr>
          <w:ilvl w:val="0"/>
          <w:numId w:val="17"/>
        </w:numPr>
        <w:spacing w:beforeLines="60" w:before="144" w:afterLines="60" w:after="144" w:line="240" w:lineRule="auto"/>
        <w:contextualSpacing w:val="0"/>
        <w:jc w:val="both"/>
        <w:rPr>
          <w:rFonts w:ascii="Century Gothic" w:hAnsi="Century Gothic"/>
        </w:rPr>
      </w:pPr>
      <w:r w:rsidRPr="00576D20">
        <w:rPr>
          <w:rFonts w:ascii="Century Gothic" w:hAnsi="Century Gothic"/>
        </w:rPr>
        <w:t>The aforementioned agreement together with the City by-laws, policies and tariffs, will record the terms and conditions by which the consumer account will be adjusted with the wheeled energy as per Tariff G.</w:t>
      </w:r>
    </w:p>
    <w:p w14:paraId="51D77317" w14:textId="77777777" w:rsidR="00D6210D" w:rsidRPr="00576D20" w:rsidRDefault="00D6210D" w:rsidP="00871EE8">
      <w:pPr>
        <w:pStyle w:val="ListParagraph"/>
        <w:numPr>
          <w:ilvl w:val="0"/>
          <w:numId w:val="17"/>
        </w:numPr>
        <w:spacing w:beforeLines="60" w:before="144" w:afterLines="60" w:after="144" w:line="240" w:lineRule="auto"/>
        <w:contextualSpacing w:val="0"/>
        <w:jc w:val="both"/>
        <w:rPr>
          <w:rFonts w:ascii="Century Gothic" w:hAnsi="Century Gothic"/>
        </w:rPr>
      </w:pPr>
      <w:r w:rsidRPr="00576D20">
        <w:rPr>
          <w:rFonts w:ascii="Century Gothic" w:hAnsi="Century Gothic"/>
        </w:rPr>
        <w:t>Generator requirements:</w:t>
      </w:r>
    </w:p>
    <w:p w14:paraId="51672567" w14:textId="77777777" w:rsidR="00D6210D" w:rsidRPr="00576D20" w:rsidRDefault="00D6210D" w:rsidP="00871EE8">
      <w:pPr>
        <w:pStyle w:val="ListParagraph"/>
        <w:numPr>
          <w:ilvl w:val="0"/>
          <w:numId w:val="19"/>
        </w:numPr>
        <w:spacing w:beforeLines="60" w:before="144" w:afterLines="60" w:after="144" w:line="240" w:lineRule="auto"/>
        <w:contextualSpacing w:val="0"/>
        <w:jc w:val="both"/>
        <w:rPr>
          <w:rFonts w:ascii="Century Gothic" w:hAnsi="Century Gothic"/>
        </w:rPr>
      </w:pPr>
      <w:r w:rsidRPr="00576D20">
        <w:rPr>
          <w:rFonts w:ascii="Century Gothic" w:hAnsi="Century Gothic"/>
        </w:rPr>
        <w:t xml:space="preserve">The generator must conclude a generation connection agreement with the City when connecting to the Distribution grid; </w:t>
      </w:r>
    </w:p>
    <w:p w14:paraId="7D12B768" w14:textId="77777777" w:rsidR="00D6210D" w:rsidRPr="00576D20" w:rsidRDefault="00D6210D" w:rsidP="00871EE8">
      <w:pPr>
        <w:pStyle w:val="ListParagraph"/>
        <w:numPr>
          <w:ilvl w:val="0"/>
          <w:numId w:val="19"/>
        </w:numPr>
        <w:spacing w:beforeLines="60" w:before="144" w:afterLines="60" w:after="144" w:line="240" w:lineRule="auto"/>
        <w:contextualSpacing w:val="0"/>
        <w:jc w:val="both"/>
        <w:rPr>
          <w:rFonts w:ascii="Century Gothic" w:hAnsi="Century Gothic"/>
        </w:rPr>
      </w:pPr>
      <w:r w:rsidRPr="00576D20">
        <w:rPr>
          <w:rFonts w:ascii="Century Gothic" w:hAnsi="Century Gothic"/>
        </w:rPr>
        <w:t>The generator and/or energy trader must conclude a wheeling (use-of-system) agreement with the City;</w:t>
      </w:r>
    </w:p>
    <w:p w14:paraId="52130C90" w14:textId="77777777" w:rsidR="00D6210D" w:rsidRPr="00576D20" w:rsidRDefault="00D6210D" w:rsidP="00871EE8">
      <w:pPr>
        <w:pStyle w:val="ListParagraph"/>
        <w:numPr>
          <w:ilvl w:val="0"/>
          <w:numId w:val="17"/>
        </w:numPr>
        <w:spacing w:beforeLines="60" w:before="144" w:afterLines="60" w:after="144" w:line="240" w:lineRule="auto"/>
        <w:contextualSpacing w:val="0"/>
        <w:jc w:val="both"/>
        <w:rPr>
          <w:rFonts w:ascii="Century Gothic" w:hAnsi="Century Gothic"/>
        </w:rPr>
      </w:pPr>
      <w:r w:rsidRPr="00576D20">
        <w:rPr>
          <w:rFonts w:ascii="Century Gothic" w:hAnsi="Century Gothic"/>
        </w:rPr>
        <w:lastRenderedPageBreak/>
        <w:t>The generator or energy trader must provide the City with a copy of the power purchase agreement entered into between the generator or energy trader and the consumer.</w:t>
      </w:r>
    </w:p>
    <w:p w14:paraId="3FD5CCD9" w14:textId="77777777" w:rsidR="00D6210D" w:rsidRPr="00576D20" w:rsidRDefault="00D6210D" w:rsidP="00871EE8">
      <w:pPr>
        <w:pStyle w:val="ListParagraph"/>
        <w:numPr>
          <w:ilvl w:val="0"/>
          <w:numId w:val="17"/>
        </w:numPr>
        <w:spacing w:beforeLines="60" w:before="144" w:afterLines="60" w:after="144" w:line="240" w:lineRule="auto"/>
        <w:contextualSpacing w:val="0"/>
        <w:jc w:val="both"/>
        <w:rPr>
          <w:rFonts w:ascii="Century Gothic" w:hAnsi="Century Gothic"/>
        </w:rPr>
      </w:pPr>
      <w:r w:rsidRPr="00576D20">
        <w:rPr>
          <w:rFonts w:ascii="Century Gothic" w:hAnsi="Century Gothic"/>
        </w:rPr>
        <w:t>The generator must meet all the SA Grid Code requirements before injecting energy into the South African power system, including technical, legal and contractual requirements.</w:t>
      </w:r>
    </w:p>
    <w:p w14:paraId="08208730" w14:textId="77777777" w:rsidR="00D6210D" w:rsidRPr="00576D20" w:rsidRDefault="00D6210D" w:rsidP="00871EE8">
      <w:pPr>
        <w:pStyle w:val="ListParagraph"/>
        <w:numPr>
          <w:ilvl w:val="0"/>
          <w:numId w:val="17"/>
        </w:numPr>
        <w:spacing w:beforeLines="60" w:before="144" w:afterLines="60" w:after="144" w:line="240" w:lineRule="auto"/>
        <w:contextualSpacing w:val="0"/>
        <w:jc w:val="both"/>
        <w:rPr>
          <w:rFonts w:ascii="Century Gothic" w:hAnsi="Century Gothic"/>
        </w:rPr>
      </w:pPr>
      <w:r w:rsidRPr="00576D20">
        <w:rPr>
          <w:rFonts w:ascii="Century Gothic" w:hAnsi="Century Gothic"/>
        </w:rPr>
        <w:t xml:space="preserve">The City will wheel electricity through the City’s grid (supply mains/distribution and/or reticulation network) from the generator point of connection to the consumer metering point. The City shall provide, install and maintain four quadrant metering equipment at the costs of the consumer to measure the electricity at each metering point (Generation and Consumer). </w:t>
      </w:r>
    </w:p>
    <w:p w14:paraId="62EEF48F" w14:textId="77777777" w:rsidR="00D6210D" w:rsidRPr="00576D20" w:rsidRDefault="00D6210D" w:rsidP="00871EE8">
      <w:pPr>
        <w:pStyle w:val="ListParagraph"/>
        <w:numPr>
          <w:ilvl w:val="0"/>
          <w:numId w:val="17"/>
        </w:numPr>
        <w:spacing w:beforeLines="60" w:before="144" w:afterLines="60" w:after="144" w:line="240" w:lineRule="auto"/>
        <w:contextualSpacing w:val="0"/>
        <w:jc w:val="both"/>
        <w:rPr>
          <w:rFonts w:ascii="Century Gothic" w:hAnsi="Century Gothic"/>
        </w:rPr>
      </w:pPr>
      <w:r w:rsidRPr="00576D20">
        <w:rPr>
          <w:rFonts w:ascii="Century Gothic" w:hAnsi="Century Gothic"/>
        </w:rPr>
        <w:t>No wheeling agreement will be entered into with a consumer or connection and use-of-system agreement with the generator and energy trader if the network capacity of the City’s grid (supply mains/distribution and/or reticulation network) will be exceeded as a result thereof.</w:t>
      </w:r>
    </w:p>
    <w:p w14:paraId="0428EDAA" w14:textId="77777777" w:rsidR="00D6210D" w:rsidRPr="001E137C" w:rsidRDefault="00D6210D" w:rsidP="00BB1DB0">
      <w:pPr>
        <w:spacing w:beforeLines="60" w:before="144" w:afterLines="60" w:after="144" w:line="240" w:lineRule="auto"/>
        <w:rPr>
          <w:rFonts w:ascii="Century Gothic" w:hAnsi="Century Gothic"/>
        </w:rPr>
      </w:pPr>
      <w:r w:rsidRPr="001E137C">
        <w:rPr>
          <w:rFonts w:ascii="Century Gothic" w:hAnsi="Century Gothic"/>
        </w:rPr>
        <w:t>C - City of Ekurhuleni Distribution Connected generators and wheeled to a customer situated outside of the City’s licenced distribution Network.</w:t>
      </w:r>
    </w:p>
    <w:p w14:paraId="313252D3" w14:textId="77777777" w:rsidR="00D6210D" w:rsidRPr="00576D20" w:rsidRDefault="00D6210D" w:rsidP="00871EE8">
      <w:pPr>
        <w:pStyle w:val="ListParagraph"/>
        <w:numPr>
          <w:ilvl w:val="0"/>
          <w:numId w:val="20"/>
        </w:numPr>
        <w:spacing w:beforeLines="60" w:before="144" w:afterLines="60" w:after="144" w:line="240" w:lineRule="auto"/>
        <w:contextualSpacing w:val="0"/>
        <w:jc w:val="both"/>
        <w:rPr>
          <w:rFonts w:ascii="Century Gothic" w:hAnsi="Century Gothic"/>
        </w:rPr>
      </w:pPr>
      <w:r w:rsidRPr="00576D20">
        <w:rPr>
          <w:rFonts w:ascii="Century Gothic" w:hAnsi="Century Gothic"/>
        </w:rPr>
        <w:t>Generators wish to set up a generation plant connecting to the City’s Distribution Network and wheel energy to customers outside the City's licensed distribution network will be required to enter into a generation connection agreement.</w:t>
      </w:r>
    </w:p>
    <w:p w14:paraId="72A027BD" w14:textId="77777777" w:rsidR="00D6210D" w:rsidRPr="00576D20" w:rsidRDefault="00D6210D" w:rsidP="00871EE8">
      <w:pPr>
        <w:pStyle w:val="ListParagraph"/>
        <w:numPr>
          <w:ilvl w:val="0"/>
          <w:numId w:val="20"/>
        </w:numPr>
        <w:spacing w:beforeLines="60" w:before="144" w:afterLines="60" w:after="144" w:line="240" w:lineRule="auto"/>
        <w:contextualSpacing w:val="0"/>
        <w:jc w:val="both"/>
        <w:rPr>
          <w:rFonts w:ascii="Century Gothic" w:hAnsi="Century Gothic"/>
        </w:rPr>
      </w:pPr>
      <w:r w:rsidRPr="00576D20">
        <w:rPr>
          <w:rFonts w:ascii="Century Gothic" w:hAnsi="Century Gothic"/>
        </w:rPr>
        <w:t>The generator must meet all the SA Grid Code requirements before injecting energy into the South African power system, including technical, legal and contractual requirements.</w:t>
      </w:r>
    </w:p>
    <w:p w14:paraId="05217B9E" w14:textId="77777777" w:rsidR="00D6210D" w:rsidRPr="00576D20" w:rsidRDefault="00D6210D" w:rsidP="00871EE8">
      <w:pPr>
        <w:pStyle w:val="ListParagraph"/>
        <w:numPr>
          <w:ilvl w:val="0"/>
          <w:numId w:val="20"/>
        </w:numPr>
        <w:spacing w:beforeLines="60" w:before="144" w:afterLines="60" w:after="144" w:line="240" w:lineRule="auto"/>
        <w:contextualSpacing w:val="0"/>
        <w:jc w:val="both"/>
        <w:rPr>
          <w:rFonts w:ascii="Century Gothic" w:hAnsi="Century Gothic"/>
        </w:rPr>
      </w:pPr>
      <w:r w:rsidRPr="00576D20">
        <w:rPr>
          <w:rFonts w:ascii="Century Gothic" w:hAnsi="Century Gothic"/>
        </w:rPr>
        <w:t>The generator and/or energy trader must conclude a wheeling (use-of-system) agreement with the City;</w:t>
      </w:r>
    </w:p>
    <w:p w14:paraId="70901CE9" w14:textId="77777777" w:rsidR="00D6210D" w:rsidRPr="00576D20" w:rsidRDefault="00D6210D" w:rsidP="00871EE8">
      <w:pPr>
        <w:pStyle w:val="ListParagraph"/>
        <w:numPr>
          <w:ilvl w:val="0"/>
          <w:numId w:val="20"/>
        </w:numPr>
        <w:spacing w:beforeLines="60" w:before="144" w:afterLines="60" w:after="144" w:line="240" w:lineRule="auto"/>
        <w:contextualSpacing w:val="0"/>
        <w:jc w:val="both"/>
        <w:rPr>
          <w:rFonts w:ascii="Century Gothic" w:hAnsi="Century Gothic"/>
        </w:rPr>
      </w:pPr>
      <w:r w:rsidRPr="00576D20">
        <w:rPr>
          <w:rFonts w:ascii="Century Gothic" w:hAnsi="Century Gothic"/>
        </w:rPr>
        <w:t>The aforementioned agreement together with the City by-laws, policies and tariffs, will record the terms and conditions by which the generator or the trader’s account will be charged with the wheeled energy as per Tariff G (Use of System Charges).</w:t>
      </w:r>
    </w:p>
    <w:p w14:paraId="63B1FF8B" w14:textId="77777777" w:rsidR="00D6210D" w:rsidRPr="00576D20" w:rsidRDefault="00D6210D" w:rsidP="00871EE8">
      <w:pPr>
        <w:pStyle w:val="ListParagraph"/>
        <w:numPr>
          <w:ilvl w:val="0"/>
          <w:numId w:val="20"/>
        </w:numPr>
        <w:spacing w:beforeLines="60" w:before="144" w:afterLines="60" w:after="144" w:line="240" w:lineRule="auto"/>
        <w:contextualSpacing w:val="0"/>
        <w:jc w:val="both"/>
        <w:rPr>
          <w:rFonts w:ascii="Century Gothic" w:hAnsi="Century Gothic"/>
        </w:rPr>
      </w:pPr>
      <w:r w:rsidRPr="00576D20">
        <w:rPr>
          <w:rFonts w:ascii="Century Gothic" w:hAnsi="Century Gothic"/>
        </w:rPr>
        <w:t>The generator and/or energy trader must conclude a wheeling (use-of-system) agreement with Eskom for the energy to be wheeled.</w:t>
      </w:r>
    </w:p>
    <w:p w14:paraId="3EA55CBA" w14:textId="77777777" w:rsidR="00D6210D" w:rsidRPr="00576D20" w:rsidRDefault="00D6210D" w:rsidP="00871EE8">
      <w:pPr>
        <w:pStyle w:val="ListParagraph"/>
        <w:numPr>
          <w:ilvl w:val="0"/>
          <w:numId w:val="20"/>
        </w:numPr>
        <w:spacing w:beforeLines="60" w:before="144" w:afterLines="60" w:after="144" w:line="240" w:lineRule="auto"/>
        <w:contextualSpacing w:val="0"/>
        <w:jc w:val="both"/>
        <w:rPr>
          <w:rFonts w:ascii="Century Gothic" w:hAnsi="Century Gothic"/>
        </w:rPr>
      </w:pPr>
      <w:r w:rsidRPr="00576D20">
        <w:rPr>
          <w:rFonts w:ascii="Century Gothic" w:hAnsi="Century Gothic"/>
        </w:rPr>
        <w:t>The generator or energy trader must provide the City with a copy of the power purchase agreement entered into between the generator or energy trader and the consumer.</w:t>
      </w:r>
    </w:p>
    <w:p w14:paraId="68E30E41" w14:textId="77777777" w:rsidR="00D6210D" w:rsidRPr="00576D20" w:rsidRDefault="00D6210D" w:rsidP="00871EE8">
      <w:pPr>
        <w:pStyle w:val="ListParagraph"/>
        <w:numPr>
          <w:ilvl w:val="0"/>
          <w:numId w:val="20"/>
        </w:numPr>
        <w:spacing w:beforeLines="60" w:before="144" w:afterLines="60" w:after="144" w:line="240" w:lineRule="auto"/>
        <w:contextualSpacing w:val="0"/>
        <w:jc w:val="both"/>
        <w:rPr>
          <w:rFonts w:ascii="Century Gothic" w:hAnsi="Century Gothic"/>
        </w:rPr>
      </w:pPr>
      <w:r w:rsidRPr="00576D20">
        <w:rPr>
          <w:rFonts w:ascii="Century Gothic" w:hAnsi="Century Gothic"/>
        </w:rPr>
        <w:t>The City will wheel electricity through the City’s grid (supply mains/distribution and/or reticulation network) from the generator point of connection. The City shall provide, install and maintain four quadrant metering equipment at the costs of the generator to measure the electricity at generation metering point, which measurements will be used to charge the Use of System charges to the generator or trader as per tariff G.</w:t>
      </w:r>
    </w:p>
    <w:p w14:paraId="69A6C6C7" w14:textId="77777777" w:rsidR="00D6210D" w:rsidRPr="00576D20" w:rsidRDefault="00D6210D" w:rsidP="00871EE8">
      <w:pPr>
        <w:pStyle w:val="ListParagraph"/>
        <w:numPr>
          <w:ilvl w:val="0"/>
          <w:numId w:val="20"/>
        </w:numPr>
        <w:spacing w:beforeLines="60" w:before="144" w:afterLines="60" w:after="144" w:line="240" w:lineRule="auto"/>
        <w:contextualSpacing w:val="0"/>
        <w:jc w:val="both"/>
        <w:rPr>
          <w:rFonts w:ascii="Century Gothic" w:hAnsi="Century Gothic"/>
        </w:rPr>
      </w:pPr>
      <w:r w:rsidRPr="00576D20">
        <w:rPr>
          <w:rFonts w:ascii="Century Gothic" w:hAnsi="Century Gothic"/>
        </w:rPr>
        <w:t>No wheeling agreement will be entered into with a consumer or connection and use-of-system agreement with the generator and energy trader if the network capacity of the City’s grid (supply mains/distribution and/or reticulation network) will be exceeded as a result thereof.</w:t>
      </w:r>
    </w:p>
    <w:p w14:paraId="3E24A11A" w14:textId="77777777" w:rsidR="00D6210D" w:rsidRPr="00D04D45" w:rsidRDefault="00D6210D" w:rsidP="00871EE8">
      <w:pPr>
        <w:pStyle w:val="ListParagraph"/>
        <w:numPr>
          <w:ilvl w:val="0"/>
          <w:numId w:val="20"/>
        </w:numPr>
        <w:spacing w:beforeLines="60" w:before="144" w:afterLines="60" w:after="144" w:line="240" w:lineRule="auto"/>
        <w:contextualSpacing w:val="0"/>
        <w:jc w:val="both"/>
        <w:rPr>
          <w:rFonts w:ascii="Century Gothic" w:hAnsi="Century Gothic"/>
        </w:rPr>
      </w:pPr>
      <w:r w:rsidRPr="00576D20">
        <w:rPr>
          <w:rFonts w:ascii="Century Gothic" w:hAnsi="Century Gothic"/>
        </w:rPr>
        <w:t>No wheeling agreement will be entered into with a consumer or connection and use-of-system agreement with the generator and energy trader if the network capacity of Eskom’s grid (Transmission and or distribution network) will be exceeded as a result thereof</w:t>
      </w:r>
      <w:r w:rsidRPr="00D04D45">
        <w:rPr>
          <w:rFonts w:ascii="Century Gothic" w:hAnsi="Century Gothic"/>
        </w:rPr>
        <w:t>.</w:t>
      </w:r>
    </w:p>
    <w:p w14:paraId="5F4F2366" w14:textId="77777777" w:rsidR="00D6210D" w:rsidRPr="00563D40" w:rsidRDefault="00D6210D" w:rsidP="00BB1DB0">
      <w:pPr>
        <w:spacing w:beforeLines="60" w:before="144" w:afterLines="60" w:after="144" w:line="240" w:lineRule="auto"/>
        <w:rPr>
          <w:rFonts w:ascii="Century Gothic" w:hAnsi="Century Gothic"/>
          <w:b/>
          <w:bCs/>
          <w:sz w:val="24"/>
          <w:szCs w:val="24"/>
          <w:u w:val="single"/>
        </w:rPr>
      </w:pPr>
      <w:r w:rsidRPr="00563D40">
        <w:rPr>
          <w:rFonts w:ascii="Century Gothic" w:hAnsi="Century Gothic"/>
          <w:b/>
          <w:bCs/>
          <w:sz w:val="24"/>
          <w:szCs w:val="24"/>
          <w:u w:val="single"/>
        </w:rPr>
        <w:t>City of Cape Town</w:t>
      </w:r>
    </w:p>
    <w:p w14:paraId="7A0DF11E" w14:textId="77777777" w:rsidR="00D6210D" w:rsidRPr="00563D40" w:rsidRDefault="00D6210D" w:rsidP="00871EE8">
      <w:pPr>
        <w:pStyle w:val="BodyText"/>
        <w:numPr>
          <w:ilvl w:val="0"/>
          <w:numId w:val="33"/>
        </w:numPr>
        <w:spacing w:beforeLines="60" w:before="144" w:afterLines="60" w:after="144" w:line="240" w:lineRule="auto"/>
        <w:rPr>
          <w:rFonts w:ascii="Century Gothic" w:hAnsi="Century Gothic"/>
          <w:lang w:eastAsia="en-ZA"/>
        </w:rPr>
      </w:pPr>
      <w:r w:rsidRPr="00563D40">
        <w:rPr>
          <w:rFonts w:ascii="Century Gothic" w:hAnsi="Century Gothic"/>
          <w:lang w:eastAsia="en-ZA"/>
        </w:rPr>
        <w:t>Wheeling is being implemented to facilitate the consumption and supply of renewable energy in the City of Cape Town.</w:t>
      </w:r>
    </w:p>
    <w:p w14:paraId="78B1ECC7" w14:textId="353875E9" w:rsidR="00D6210D" w:rsidRPr="00083109" w:rsidRDefault="00D6210D" w:rsidP="00871EE8">
      <w:pPr>
        <w:pStyle w:val="BodyText"/>
        <w:numPr>
          <w:ilvl w:val="0"/>
          <w:numId w:val="33"/>
        </w:numPr>
        <w:spacing w:beforeLines="60" w:before="144" w:afterLines="60" w:after="144" w:line="240" w:lineRule="auto"/>
        <w:rPr>
          <w:rFonts w:ascii="Century Gothic" w:hAnsi="Century Gothic"/>
          <w:lang w:eastAsia="en-ZA"/>
        </w:rPr>
      </w:pPr>
      <w:r w:rsidRPr="00083109">
        <w:rPr>
          <w:rFonts w:ascii="Century Gothic" w:hAnsi="Century Gothic"/>
          <w:lang w:eastAsia="en-ZA"/>
        </w:rPr>
        <w:t>Energy will be wheeled ex green benefits and the City will not be responsible for the verification or</w:t>
      </w:r>
      <w:r w:rsidR="00083109" w:rsidRPr="00083109">
        <w:rPr>
          <w:rFonts w:ascii="Century Gothic" w:hAnsi="Century Gothic"/>
          <w:lang w:eastAsia="en-ZA"/>
        </w:rPr>
        <w:t xml:space="preserve"> </w:t>
      </w:r>
      <w:r w:rsidRPr="00083109">
        <w:rPr>
          <w:rFonts w:ascii="Century Gothic" w:hAnsi="Century Gothic"/>
          <w:lang w:eastAsia="en-ZA"/>
        </w:rPr>
        <w:t>certification of green benefits.</w:t>
      </w:r>
    </w:p>
    <w:p w14:paraId="72B39EBE" w14:textId="517243D1" w:rsidR="00D6210D" w:rsidRPr="0001502D" w:rsidRDefault="00D6210D" w:rsidP="00871EE8">
      <w:pPr>
        <w:pStyle w:val="BodyText"/>
        <w:numPr>
          <w:ilvl w:val="0"/>
          <w:numId w:val="33"/>
        </w:numPr>
        <w:spacing w:beforeLines="60" w:before="144" w:afterLines="60" w:after="144" w:line="240" w:lineRule="auto"/>
        <w:rPr>
          <w:rFonts w:ascii="Century Gothic" w:hAnsi="Century Gothic"/>
          <w:lang w:eastAsia="en-ZA"/>
        </w:rPr>
      </w:pPr>
      <w:r w:rsidRPr="00287A77">
        <w:rPr>
          <w:rFonts w:ascii="Century Gothic" w:hAnsi="Century Gothic"/>
          <w:lang w:eastAsia="en-ZA"/>
        </w:rPr>
        <w:lastRenderedPageBreak/>
        <w:t>Customers participating in wheeling (market environment) will be treated separately from other City</w:t>
      </w:r>
      <w:r w:rsidR="00287A77" w:rsidRPr="0001502D">
        <w:rPr>
          <w:rFonts w:ascii="Century Gothic" w:hAnsi="Century Gothic"/>
          <w:lang w:eastAsia="en-ZA"/>
        </w:rPr>
        <w:t xml:space="preserve"> </w:t>
      </w:r>
      <w:r w:rsidRPr="0001502D">
        <w:rPr>
          <w:rFonts w:ascii="Century Gothic" w:hAnsi="Century Gothic"/>
          <w:lang w:eastAsia="en-ZA"/>
        </w:rPr>
        <w:t>customers (regulated environment) to ensure that there is no cross-subsidization of energy costs or</w:t>
      </w:r>
      <w:r w:rsidR="0001502D">
        <w:rPr>
          <w:rFonts w:ascii="Century Gothic" w:hAnsi="Century Gothic"/>
          <w:lang w:eastAsia="en-ZA"/>
        </w:rPr>
        <w:t xml:space="preserve"> </w:t>
      </w:r>
      <w:r w:rsidRPr="0001502D">
        <w:rPr>
          <w:rFonts w:ascii="Century Gothic" w:hAnsi="Century Gothic"/>
          <w:lang w:eastAsia="en-ZA"/>
        </w:rPr>
        <w:t>arbitrage between these two environments.</w:t>
      </w:r>
    </w:p>
    <w:p w14:paraId="2E64BED6" w14:textId="27A09A85" w:rsidR="00D6210D" w:rsidRPr="00D3769D" w:rsidRDefault="00D6210D" w:rsidP="00871EE8">
      <w:pPr>
        <w:pStyle w:val="BodyText"/>
        <w:numPr>
          <w:ilvl w:val="0"/>
          <w:numId w:val="33"/>
        </w:numPr>
        <w:spacing w:beforeLines="60" w:before="144" w:afterLines="60" w:after="144" w:line="240" w:lineRule="auto"/>
        <w:rPr>
          <w:rFonts w:ascii="Century Gothic" w:hAnsi="Century Gothic"/>
          <w:lang w:eastAsia="en-ZA"/>
        </w:rPr>
      </w:pPr>
      <w:r w:rsidRPr="00563D40">
        <w:rPr>
          <w:rFonts w:ascii="Century Gothic" w:hAnsi="Century Gothic"/>
          <w:lang w:eastAsia="en-ZA"/>
        </w:rPr>
        <w:t xml:space="preserve">Wheeling will only be implemented at medium and high voltage levels </w:t>
      </w:r>
      <w:r w:rsidR="0001502D" w:rsidRPr="00563D40">
        <w:rPr>
          <w:rFonts w:ascii="Century Gothic" w:hAnsi="Century Gothic"/>
          <w:lang w:eastAsia="en-ZA"/>
        </w:rPr>
        <w:t>i.e.</w:t>
      </w:r>
      <w:r w:rsidRPr="00563D40">
        <w:rPr>
          <w:rFonts w:ascii="Century Gothic" w:hAnsi="Century Gothic"/>
          <w:lang w:eastAsia="en-ZA"/>
        </w:rPr>
        <w:t xml:space="preserve"> 11 kV to 132 kV.</w:t>
      </w:r>
    </w:p>
    <w:p w14:paraId="69F9D974" w14:textId="01C14545" w:rsidR="00D6210D" w:rsidRPr="00563D40" w:rsidRDefault="00D6210D" w:rsidP="00BB1DB0">
      <w:pPr>
        <w:spacing w:beforeLines="60" w:before="144" w:afterLines="60" w:after="144" w:line="240" w:lineRule="auto"/>
        <w:rPr>
          <w:rFonts w:ascii="Century Gothic" w:hAnsi="Century Gothic"/>
          <w:b/>
          <w:bCs/>
          <w:sz w:val="24"/>
          <w:szCs w:val="24"/>
          <w:u w:val="single"/>
        </w:rPr>
      </w:pPr>
      <w:r w:rsidRPr="00563D40">
        <w:rPr>
          <w:rFonts w:ascii="Century Gothic" w:hAnsi="Century Gothic"/>
          <w:b/>
          <w:bCs/>
          <w:sz w:val="24"/>
          <w:szCs w:val="24"/>
          <w:u w:val="single"/>
        </w:rPr>
        <w:t xml:space="preserve">Swartland </w:t>
      </w:r>
      <w:r w:rsidR="00563D40">
        <w:rPr>
          <w:rFonts w:ascii="Century Gothic" w:hAnsi="Century Gothic"/>
          <w:b/>
          <w:bCs/>
          <w:sz w:val="24"/>
          <w:szCs w:val="24"/>
          <w:u w:val="single"/>
        </w:rPr>
        <w:t>(</w:t>
      </w:r>
      <w:r w:rsidR="00BB1DB0">
        <w:rPr>
          <w:rFonts w:ascii="Century Gothic" w:hAnsi="Century Gothic"/>
          <w:b/>
          <w:bCs/>
          <w:sz w:val="24"/>
          <w:szCs w:val="24"/>
          <w:u w:val="single"/>
        </w:rPr>
        <w:t>Draft not approved)</w:t>
      </w:r>
    </w:p>
    <w:p w14:paraId="31181C72" w14:textId="77777777" w:rsidR="00D6210D" w:rsidRPr="00563D40" w:rsidRDefault="00D6210D" w:rsidP="00871EE8">
      <w:pPr>
        <w:pStyle w:val="BodyText"/>
        <w:numPr>
          <w:ilvl w:val="0"/>
          <w:numId w:val="34"/>
        </w:numPr>
        <w:spacing w:beforeLines="60" w:before="144" w:afterLines="60" w:after="144" w:line="240" w:lineRule="auto"/>
        <w:rPr>
          <w:rFonts w:ascii="Century Gothic" w:hAnsi="Century Gothic"/>
          <w:lang w:eastAsia="en-ZA"/>
        </w:rPr>
      </w:pPr>
      <w:r w:rsidRPr="00563D40">
        <w:rPr>
          <w:rFonts w:ascii="Century Gothic" w:hAnsi="Century Gothic"/>
          <w:lang w:eastAsia="en-ZA"/>
        </w:rPr>
        <w:t>As a start, only generators connected to the municipal grid will be allowed to wheel electricity.</w:t>
      </w:r>
    </w:p>
    <w:p w14:paraId="05080B13" w14:textId="77777777" w:rsidR="00D6210D" w:rsidRPr="00563D40" w:rsidRDefault="00D6210D" w:rsidP="00871EE8">
      <w:pPr>
        <w:pStyle w:val="BodyText"/>
        <w:numPr>
          <w:ilvl w:val="0"/>
          <w:numId w:val="34"/>
        </w:numPr>
        <w:spacing w:beforeLines="60" w:before="144" w:afterLines="60" w:after="144" w:line="240" w:lineRule="auto"/>
        <w:rPr>
          <w:rFonts w:ascii="Century Gothic" w:hAnsi="Century Gothic"/>
          <w:lang w:eastAsia="en-ZA"/>
        </w:rPr>
      </w:pPr>
      <w:r w:rsidRPr="00563D40">
        <w:rPr>
          <w:rFonts w:ascii="Century Gothic" w:hAnsi="Century Gothic"/>
          <w:lang w:eastAsia="en-ZA"/>
        </w:rPr>
        <w:t>Generators to connect at 11 kV at one of the main distribution substations in the municipality.</w:t>
      </w:r>
    </w:p>
    <w:p w14:paraId="209D7A39" w14:textId="789AEC59" w:rsidR="00D6210D" w:rsidRPr="00563D40" w:rsidRDefault="00D6210D" w:rsidP="00871EE8">
      <w:pPr>
        <w:pStyle w:val="BodyText"/>
        <w:numPr>
          <w:ilvl w:val="0"/>
          <w:numId w:val="34"/>
        </w:numPr>
        <w:spacing w:beforeLines="60" w:before="144" w:afterLines="60" w:after="144" w:line="240" w:lineRule="auto"/>
        <w:rPr>
          <w:rFonts w:ascii="Century Gothic" w:hAnsi="Century Gothic"/>
          <w:lang w:eastAsia="en-ZA"/>
        </w:rPr>
      </w:pPr>
      <w:r w:rsidRPr="00563D40">
        <w:rPr>
          <w:rFonts w:ascii="Century Gothic" w:hAnsi="Century Gothic"/>
          <w:lang w:eastAsia="en-ZA"/>
        </w:rPr>
        <w:t>All cost</w:t>
      </w:r>
      <w:r w:rsidR="0035432E">
        <w:rPr>
          <w:rFonts w:ascii="Century Gothic" w:hAnsi="Century Gothic"/>
          <w:lang w:eastAsia="en-ZA"/>
        </w:rPr>
        <w:t>s</w:t>
      </w:r>
      <w:r w:rsidRPr="00563D40">
        <w:rPr>
          <w:rFonts w:ascii="Century Gothic" w:hAnsi="Century Gothic"/>
          <w:lang w:eastAsia="en-ZA"/>
        </w:rPr>
        <w:t xml:space="preserve"> applicable to the connection of the generator to the grid will be for the generators account</w:t>
      </w:r>
      <w:r w:rsidR="0035432E">
        <w:rPr>
          <w:rFonts w:ascii="Century Gothic" w:hAnsi="Century Gothic"/>
          <w:lang w:eastAsia="en-ZA"/>
        </w:rPr>
        <w:t>.</w:t>
      </w:r>
    </w:p>
    <w:p w14:paraId="54669786" w14:textId="7023A6E8" w:rsidR="00D6210D" w:rsidRPr="00563D40" w:rsidRDefault="00D6210D" w:rsidP="00871EE8">
      <w:pPr>
        <w:pStyle w:val="BodyText"/>
        <w:numPr>
          <w:ilvl w:val="0"/>
          <w:numId w:val="34"/>
        </w:numPr>
        <w:spacing w:beforeLines="60" w:before="144" w:afterLines="60" w:after="144" w:line="240" w:lineRule="auto"/>
        <w:rPr>
          <w:rFonts w:ascii="Century Gothic" w:hAnsi="Century Gothic"/>
          <w:lang w:eastAsia="en-ZA"/>
        </w:rPr>
      </w:pPr>
      <w:r w:rsidRPr="00563D40">
        <w:rPr>
          <w:rFonts w:ascii="Century Gothic" w:hAnsi="Century Gothic"/>
          <w:lang w:eastAsia="en-ZA"/>
        </w:rPr>
        <w:t>Wheeling will only be considered for generators &gt; 1 MVA, SSEG &lt; 1 MVA will not be allowed to wheel energy during the pilot program</w:t>
      </w:r>
      <w:r w:rsidR="005B2F51">
        <w:rPr>
          <w:rFonts w:ascii="Century Gothic" w:hAnsi="Century Gothic"/>
          <w:lang w:eastAsia="en-ZA"/>
        </w:rPr>
        <w:t>.</w:t>
      </w:r>
    </w:p>
    <w:p w14:paraId="7ECFE012" w14:textId="77777777" w:rsidR="00D6210D" w:rsidRPr="00563D40" w:rsidRDefault="00D6210D" w:rsidP="00871EE8">
      <w:pPr>
        <w:pStyle w:val="BodyText"/>
        <w:numPr>
          <w:ilvl w:val="0"/>
          <w:numId w:val="34"/>
        </w:numPr>
        <w:spacing w:beforeLines="60" w:before="144" w:afterLines="60" w:after="144" w:line="240" w:lineRule="auto"/>
        <w:rPr>
          <w:rFonts w:ascii="Century Gothic" w:hAnsi="Century Gothic"/>
          <w:lang w:eastAsia="en-ZA"/>
        </w:rPr>
      </w:pPr>
      <w:r w:rsidRPr="00563D40">
        <w:rPr>
          <w:rFonts w:ascii="Century Gothic" w:hAnsi="Century Gothic"/>
          <w:lang w:eastAsia="en-ZA"/>
        </w:rPr>
        <w:t xml:space="preserve">Traders will only be allowed once the municipality has built up some skills and experience in the wheeling of energy.  </w:t>
      </w:r>
    </w:p>
    <w:p w14:paraId="07D3FE11" w14:textId="77777777" w:rsidR="00D6210D" w:rsidRPr="00563D40" w:rsidRDefault="00D6210D" w:rsidP="00871EE8">
      <w:pPr>
        <w:pStyle w:val="BodyText"/>
        <w:numPr>
          <w:ilvl w:val="0"/>
          <w:numId w:val="34"/>
        </w:numPr>
        <w:spacing w:beforeLines="60" w:before="144" w:afterLines="60" w:after="144" w:line="240" w:lineRule="auto"/>
        <w:rPr>
          <w:rFonts w:ascii="Century Gothic" w:hAnsi="Century Gothic"/>
          <w:lang w:eastAsia="en-ZA"/>
        </w:rPr>
      </w:pPr>
      <w:r w:rsidRPr="00563D40">
        <w:rPr>
          <w:rFonts w:ascii="Century Gothic" w:hAnsi="Century Gothic"/>
          <w:lang w:eastAsia="en-ZA"/>
        </w:rPr>
        <w:t>The Generators must adhere to NERSA’s rules and regulations in terms of registration, wheeling as well as well as national legislation, regulations and codes.</w:t>
      </w:r>
    </w:p>
    <w:p w14:paraId="6AC67876" w14:textId="5F6B6A7E" w:rsidR="00D6210D" w:rsidRPr="00563D40" w:rsidRDefault="00D6210D" w:rsidP="00871EE8">
      <w:pPr>
        <w:pStyle w:val="BodyText"/>
        <w:numPr>
          <w:ilvl w:val="0"/>
          <w:numId w:val="34"/>
        </w:numPr>
        <w:spacing w:beforeLines="60" w:before="144" w:afterLines="60" w:after="144" w:line="240" w:lineRule="auto"/>
        <w:rPr>
          <w:rFonts w:ascii="Century Gothic" w:hAnsi="Century Gothic"/>
          <w:lang w:eastAsia="en-ZA"/>
        </w:rPr>
      </w:pPr>
      <w:r w:rsidRPr="00563D40">
        <w:rPr>
          <w:rFonts w:ascii="Century Gothic" w:hAnsi="Century Gothic"/>
          <w:lang w:eastAsia="en-ZA"/>
        </w:rPr>
        <w:t>For the pilot program</w:t>
      </w:r>
      <w:r w:rsidR="005B2F51">
        <w:rPr>
          <w:rFonts w:ascii="Century Gothic" w:hAnsi="Century Gothic"/>
          <w:lang w:eastAsia="en-ZA"/>
        </w:rPr>
        <w:t>,</w:t>
      </w:r>
      <w:r w:rsidRPr="00563D40">
        <w:rPr>
          <w:rFonts w:ascii="Century Gothic" w:hAnsi="Century Gothic"/>
          <w:lang w:eastAsia="en-ZA"/>
        </w:rPr>
        <w:t xml:space="preserve"> a generator cannot wheel to more than one customer.</w:t>
      </w:r>
    </w:p>
    <w:p w14:paraId="5B08401A" w14:textId="335E2661" w:rsidR="00D6210D" w:rsidRPr="00563D40" w:rsidRDefault="00D6210D" w:rsidP="00871EE8">
      <w:pPr>
        <w:pStyle w:val="BodyText"/>
        <w:numPr>
          <w:ilvl w:val="0"/>
          <w:numId w:val="34"/>
        </w:numPr>
        <w:spacing w:beforeLines="60" w:before="144" w:afterLines="60" w:after="144" w:line="240" w:lineRule="auto"/>
        <w:rPr>
          <w:rFonts w:ascii="Century Gothic" w:hAnsi="Century Gothic"/>
          <w:lang w:eastAsia="en-ZA"/>
        </w:rPr>
      </w:pPr>
      <w:r w:rsidRPr="00563D40">
        <w:rPr>
          <w:rFonts w:ascii="Century Gothic" w:hAnsi="Century Gothic"/>
          <w:lang w:eastAsia="en-ZA"/>
        </w:rPr>
        <w:t>The Off-taker needs to be connected to the municipal network in the same town as the generator</w:t>
      </w:r>
      <w:r w:rsidR="005B2F51">
        <w:rPr>
          <w:rFonts w:ascii="Century Gothic" w:hAnsi="Century Gothic"/>
          <w:lang w:eastAsia="en-ZA"/>
        </w:rPr>
        <w:t>.</w:t>
      </w:r>
    </w:p>
    <w:p w14:paraId="668FFB63" w14:textId="1D670B9C" w:rsidR="00D6210D" w:rsidRPr="00563D40" w:rsidRDefault="00D6210D" w:rsidP="00871EE8">
      <w:pPr>
        <w:pStyle w:val="BodyText"/>
        <w:numPr>
          <w:ilvl w:val="0"/>
          <w:numId w:val="34"/>
        </w:numPr>
        <w:spacing w:beforeLines="60" w:before="144" w:afterLines="60" w:after="144" w:line="240" w:lineRule="auto"/>
        <w:rPr>
          <w:rFonts w:ascii="Century Gothic" w:hAnsi="Century Gothic"/>
          <w:lang w:eastAsia="en-ZA"/>
        </w:rPr>
      </w:pPr>
      <w:r w:rsidRPr="00563D40">
        <w:rPr>
          <w:rFonts w:ascii="Century Gothic" w:hAnsi="Century Gothic"/>
          <w:lang w:eastAsia="en-ZA"/>
        </w:rPr>
        <w:t>For the Generator</w:t>
      </w:r>
      <w:r w:rsidR="005B2F51">
        <w:rPr>
          <w:rFonts w:ascii="Century Gothic" w:hAnsi="Century Gothic"/>
          <w:lang w:eastAsia="en-ZA"/>
        </w:rPr>
        <w:t>,</w:t>
      </w:r>
      <w:r w:rsidRPr="00563D40">
        <w:rPr>
          <w:rFonts w:ascii="Century Gothic" w:hAnsi="Century Gothic"/>
          <w:lang w:eastAsia="en-ZA"/>
        </w:rPr>
        <w:t xml:space="preserve"> Tariff 15 (TOU Wheeling Tariff) will apply (once approved by NERSA)</w:t>
      </w:r>
      <w:r w:rsidR="005B2F51">
        <w:rPr>
          <w:rFonts w:ascii="Century Gothic" w:hAnsi="Century Gothic"/>
          <w:lang w:eastAsia="en-ZA"/>
        </w:rPr>
        <w:t>.</w:t>
      </w:r>
    </w:p>
    <w:p w14:paraId="3CABEBEB" w14:textId="5754A1E1" w:rsidR="00D6210D" w:rsidRPr="00563D40" w:rsidRDefault="00D6210D" w:rsidP="00871EE8">
      <w:pPr>
        <w:pStyle w:val="BodyText"/>
        <w:numPr>
          <w:ilvl w:val="0"/>
          <w:numId w:val="34"/>
        </w:numPr>
        <w:spacing w:beforeLines="60" w:before="144" w:afterLines="60" w:after="144" w:line="240" w:lineRule="auto"/>
        <w:rPr>
          <w:rFonts w:ascii="Century Gothic" w:hAnsi="Century Gothic"/>
          <w:lang w:eastAsia="en-ZA"/>
        </w:rPr>
      </w:pPr>
      <w:r w:rsidRPr="00563D40">
        <w:rPr>
          <w:rFonts w:ascii="Century Gothic" w:hAnsi="Century Gothic"/>
          <w:lang w:eastAsia="en-ZA"/>
        </w:rPr>
        <w:t>The customer needs to be on a Tariff 10 (TOU tariff). Any cost to convert to the applicable tariff and changing of meters will be for the Customer’s account.</w:t>
      </w:r>
    </w:p>
    <w:p w14:paraId="2A865FE1" w14:textId="77777777" w:rsidR="00D6210D" w:rsidRPr="00563D40" w:rsidRDefault="00D6210D" w:rsidP="00871EE8">
      <w:pPr>
        <w:pStyle w:val="BodyText"/>
        <w:numPr>
          <w:ilvl w:val="0"/>
          <w:numId w:val="34"/>
        </w:numPr>
        <w:spacing w:beforeLines="60" w:before="144" w:afterLines="60" w:after="144" w:line="240" w:lineRule="auto"/>
        <w:rPr>
          <w:rFonts w:ascii="Century Gothic" w:hAnsi="Century Gothic"/>
          <w:lang w:eastAsia="en-ZA"/>
        </w:rPr>
      </w:pPr>
      <w:r w:rsidRPr="00563D40">
        <w:rPr>
          <w:rFonts w:ascii="Century Gothic" w:hAnsi="Century Gothic"/>
          <w:lang w:eastAsia="en-ZA"/>
        </w:rPr>
        <w:t xml:space="preserve">The billing will be reconciled on 30-minute interval for TOU consumption. </w:t>
      </w:r>
    </w:p>
    <w:p w14:paraId="0018F57C" w14:textId="64D30C1A" w:rsidR="00D6210D" w:rsidRPr="00563D40" w:rsidRDefault="00D6210D" w:rsidP="00871EE8">
      <w:pPr>
        <w:pStyle w:val="BodyText"/>
        <w:numPr>
          <w:ilvl w:val="0"/>
          <w:numId w:val="34"/>
        </w:numPr>
        <w:spacing w:beforeLines="60" w:before="144" w:afterLines="60" w:after="144" w:line="240" w:lineRule="auto"/>
        <w:rPr>
          <w:rFonts w:ascii="Century Gothic" w:hAnsi="Century Gothic"/>
          <w:lang w:eastAsia="en-ZA"/>
        </w:rPr>
      </w:pPr>
      <w:r w:rsidRPr="00563D40">
        <w:rPr>
          <w:rFonts w:ascii="Century Gothic" w:hAnsi="Century Gothic"/>
          <w:lang w:eastAsia="en-ZA"/>
        </w:rPr>
        <w:t>Any off-taker may not receive any electrical energy from more than one third</w:t>
      </w:r>
      <w:r w:rsidR="00964160">
        <w:rPr>
          <w:rFonts w:ascii="Century Gothic" w:hAnsi="Century Gothic"/>
          <w:lang w:eastAsia="en-ZA"/>
        </w:rPr>
        <w:t>-</w:t>
      </w:r>
      <w:r w:rsidRPr="00563D40">
        <w:rPr>
          <w:rFonts w:ascii="Century Gothic" w:hAnsi="Century Gothic"/>
          <w:lang w:eastAsia="en-ZA"/>
        </w:rPr>
        <w:t>party energy provider.</w:t>
      </w:r>
    </w:p>
    <w:p w14:paraId="588E591B" w14:textId="2E696156" w:rsidR="00D6210D" w:rsidRPr="00563D40" w:rsidRDefault="00D6210D" w:rsidP="00871EE8">
      <w:pPr>
        <w:pStyle w:val="BodyText"/>
        <w:numPr>
          <w:ilvl w:val="0"/>
          <w:numId w:val="34"/>
        </w:numPr>
        <w:spacing w:beforeLines="60" w:before="144" w:afterLines="60" w:after="144" w:line="240" w:lineRule="auto"/>
        <w:rPr>
          <w:rFonts w:ascii="Century Gothic" w:hAnsi="Century Gothic"/>
          <w:lang w:eastAsia="en-ZA"/>
        </w:rPr>
      </w:pPr>
      <w:r w:rsidRPr="00563D40">
        <w:rPr>
          <w:rFonts w:ascii="Century Gothic" w:hAnsi="Century Gothic"/>
          <w:lang w:eastAsia="en-ZA"/>
        </w:rPr>
        <w:t>Any electrical energy not consumed by the off-taker will not be credited, i.e. no banking of energy will be allowed and no compensation will be paid, to the generator</w:t>
      </w:r>
      <w:r w:rsidR="00F76F93">
        <w:rPr>
          <w:rFonts w:ascii="Century Gothic" w:hAnsi="Century Gothic"/>
          <w:lang w:eastAsia="en-ZA"/>
        </w:rPr>
        <w:t>.</w:t>
      </w:r>
    </w:p>
    <w:p w14:paraId="67FD5073" w14:textId="77777777" w:rsidR="00D6210D" w:rsidRPr="00563D40" w:rsidRDefault="00D6210D" w:rsidP="00871EE8">
      <w:pPr>
        <w:pStyle w:val="BodyText"/>
        <w:numPr>
          <w:ilvl w:val="0"/>
          <w:numId w:val="34"/>
        </w:numPr>
        <w:spacing w:beforeLines="60" w:before="144" w:afterLines="60" w:after="144" w:line="240" w:lineRule="auto"/>
        <w:rPr>
          <w:rFonts w:ascii="Century Gothic" w:hAnsi="Century Gothic"/>
          <w:lang w:eastAsia="en-ZA"/>
        </w:rPr>
      </w:pPr>
      <w:r w:rsidRPr="00563D40">
        <w:rPr>
          <w:rFonts w:ascii="Century Gothic" w:hAnsi="Century Gothic"/>
          <w:lang w:eastAsia="en-ZA"/>
        </w:rPr>
        <w:t>The contracts/agreements mentioned below must be sighed before wheeling can take place.</w:t>
      </w:r>
    </w:p>
    <w:p w14:paraId="7C044BFA" w14:textId="77777777" w:rsidR="00D6210D" w:rsidRPr="00563D40" w:rsidRDefault="00D6210D" w:rsidP="00871EE8">
      <w:pPr>
        <w:pStyle w:val="BodyText"/>
        <w:numPr>
          <w:ilvl w:val="0"/>
          <w:numId w:val="34"/>
        </w:numPr>
        <w:spacing w:beforeLines="60" w:before="144" w:afterLines="60" w:after="144" w:line="240" w:lineRule="auto"/>
        <w:rPr>
          <w:rFonts w:ascii="Century Gothic" w:hAnsi="Century Gothic"/>
          <w:lang w:eastAsia="en-ZA"/>
        </w:rPr>
      </w:pPr>
      <w:r w:rsidRPr="00563D40">
        <w:rPr>
          <w:rFonts w:ascii="Century Gothic" w:hAnsi="Century Gothic"/>
          <w:lang w:eastAsia="en-ZA"/>
        </w:rPr>
        <w:t>Generator registration at municipality</w:t>
      </w:r>
    </w:p>
    <w:p w14:paraId="4BE3ADDB" w14:textId="77777777" w:rsidR="00D6210D" w:rsidRPr="00563D40" w:rsidRDefault="00D6210D" w:rsidP="00871EE8">
      <w:pPr>
        <w:pStyle w:val="BodyText"/>
        <w:numPr>
          <w:ilvl w:val="0"/>
          <w:numId w:val="34"/>
        </w:numPr>
        <w:spacing w:beforeLines="60" w:before="144" w:afterLines="60" w:after="144" w:line="240" w:lineRule="auto"/>
        <w:rPr>
          <w:rFonts w:ascii="Century Gothic" w:hAnsi="Century Gothic"/>
          <w:lang w:eastAsia="en-ZA"/>
        </w:rPr>
      </w:pPr>
      <w:r w:rsidRPr="00563D40">
        <w:rPr>
          <w:rFonts w:ascii="Century Gothic" w:hAnsi="Century Gothic"/>
          <w:lang w:eastAsia="en-ZA"/>
        </w:rPr>
        <w:t>The Generator needs to register with NERSA as a generator and for Wheeling</w:t>
      </w:r>
    </w:p>
    <w:p w14:paraId="78918418" w14:textId="77777777" w:rsidR="00D6210D" w:rsidRPr="00563D40" w:rsidRDefault="00D6210D" w:rsidP="00871EE8">
      <w:pPr>
        <w:pStyle w:val="BodyText"/>
        <w:numPr>
          <w:ilvl w:val="0"/>
          <w:numId w:val="34"/>
        </w:numPr>
        <w:spacing w:beforeLines="60" w:before="144" w:afterLines="60" w:after="144" w:line="240" w:lineRule="auto"/>
        <w:rPr>
          <w:rFonts w:ascii="Century Gothic" w:hAnsi="Century Gothic"/>
          <w:lang w:eastAsia="en-ZA"/>
        </w:rPr>
      </w:pPr>
      <w:r w:rsidRPr="00563D40">
        <w:rPr>
          <w:rFonts w:ascii="Century Gothic" w:hAnsi="Century Gothic"/>
          <w:lang w:eastAsia="en-ZA"/>
        </w:rPr>
        <w:t>The Generator to connect at an 11 kV Main Infeed substation</w:t>
      </w:r>
    </w:p>
    <w:p w14:paraId="01858F3F" w14:textId="7E696800" w:rsidR="00D6210D" w:rsidRPr="00563D40" w:rsidRDefault="00D6210D" w:rsidP="00871EE8">
      <w:pPr>
        <w:pStyle w:val="BodyText"/>
        <w:numPr>
          <w:ilvl w:val="0"/>
          <w:numId w:val="34"/>
        </w:numPr>
        <w:spacing w:beforeLines="60" w:before="144" w:afterLines="60" w:after="144" w:line="240" w:lineRule="auto"/>
        <w:rPr>
          <w:rFonts w:ascii="Century Gothic" w:hAnsi="Century Gothic"/>
          <w:lang w:eastAsia="en-ZA"/>
        </w:rPr>
      </w:pPr>
      <w:r w:rsidRPr="00563D40">
        <w:rPr>
          <w:rFonts w:ascii="Century Gothic" w:hAnsi="Century Gothic"/>
          <w:lang w:eastAsia="en-ZA"/>
        </w:rPr>
        <w:t>A grid impact study needs to be performed at the Generator’s cost and signed off by an independent Registered Professional Engineer. Results to be submitted to the municipality for evaluation</w:t>
      </w:r>
      <w:r w:rsidR="00296A83">
        <w:rPr>
          <w:rFonts w:ascii="Century Gothic" w:hAnsi="Century Gothic"/>
          <w:lang w:eastAsia="en-ZA"/>
        </w:rPr>
        <w:t>.</w:t>
      </w:r>
    </w:p>
    <w:p w14:paraId="7BD5278B" w14:textId="709A6BA8" w:rsidR="00D6210D" w:rsidRPr="00563D40" w:rsidRDefault="00D6210D" w:rsidP="00871EE8">
      <w:pPr>
        <w:pStyle w:val="BodyText"/>
        <w:numPr>
          <w:ilvl w:val="0"/>
          <w:numId w:val="34"/>
        </w:numPr>
        <w:spacing w:beforeLines="60" w:before="144" w:afterLines="60" w:after="144" w:line="240" w:lineRule="auto"/>
        <w:rPr>
          <w:rFonts w:ascii="Century Gothic" w:hAnsi="Century Gothic"/>
          <w:lang w:eastAsia="en-ZA"/>
        </w:rPr>
      </w:pPr>
      <w:r w:rsidRPr="00563D40">
        <w:rPr>
          <w:rFonts w:ascii="Century Gothic" w:hAnsi="Century Gothic"/>
          <w:lang w:eastAsia="en-ZA"/>
        </w:rPr>
        <w:t>Before connecting to the municipal grid, the generator needs to do a Quality of Supply study (at the busbar where the connection will be made) to determine the base case</w:t>
      </w:r>
      <w:r w:rsidR="000A491C">
        <w:rPr>
          <w:rFonts w:ascii="Century Gothic" w:hAnsi="Century Gothic"/>
          <w:lang w:eastAsia="en-ZA"/>
        </w:rPr>
        <w:t>,</w:t>
      </w:r>
      <w:r w:rsidRPr="00563D40">
        <w:rPr>
          <w:rFonts w:ascii="Century Gothic" w:hAnsi="Century Gothic"/>
          <w:lang w:eastAsia="en-ZA"/>
        </w:rPr>
        <w:t xml:space="preserve"> and the generator to install a permanent QOS recorder on the busbar for continuous monitoring of the QOS parameters</w:t>
      </w:r>
    </w:p>
    <w:p w14:paraId="3B5B0086" w14:textId="4C90D2EC" w:rsidR="00D6210D" w:rsidRPr="00563D40" w:rsidRDefault="00D6210D" w:rsidP="00871EE8">
      <w:pPr>
        <w:pStyle w:val="BodyText"/>
        <w:numPr>
          <w:ilvl w:val="0"/>
          <w:numId w:val="34"/>
        </w:numPr>
        <w:spacing w:beforeLines="60" w:before="144" w:afterLines="60" w:after="144" w:line="240" w:lineRule="auto"/>
        <w:rPr>
          <w:rFonts w:ascii="Century Gothic" w:hAnsi="Century Gothic"/>
          <w:lang w:eastAsia="en-ZA"/>
        </w:rPr>
      </w:pPr>
      <w:r w:rsidRPr="00563D40">
        <w:rPr>
          <w:rFonts w:ascii="Century Gothic" w:hAnsi="Century Gothic"/>
          <w:lang w:eastAsia="en-ZA"/>
        </w:rPr>
        <w:t>The generator will need to comply to the various codes (Distribution Network Code, Renewable Power Plant Code, NRS 084 etc)</w:t>
      </w:r>
      <w:r w:rsidR="000A491C">
        <w:rPr>
          <w:rFonts w:ascii="Century Gothic" w:hAnsi="Century Gothic"/>
          <w:lang w:eastAsia="en-ZA"/>
        </w:rPr>
        <w:t>.</w:t>
      </w:r>
    </w:p>
    <w:p w14:paraId="2D2FF1D1" w14:textId="77777777" w:rsidR="00D6210D" w:rsidRPr="00563D40" w:rsidRDefault="00D6210D" w:rsidP="00871EE8">
      <w:pPr>
        <w:pStyle w:val="BodyText"/>
        <w:numPr>
          <w:ilvl w:val="0"/>
          <w:numId w:val="34"/>
        </w:numPr>
        <w:spacing w:beforeLines="60" w:before="144" w:afterLines="60" w:after="144" w:line="240" w:lineRule="auto"/>
        <w:rPr>
          <w:rFonts w:ascii="Century Gothic" w:hAnsi="Century Gothic"/>
          <w:lang w:eastAsia="en-ZA"/>
        </w:rPr>
      </w:pPr>
      <w:r w:rsidRPr="00563D40">
        <w:rPr>
          <w:rFonts w:ascii="Century Gothic" w:hAnsi="Century Gothic"/>
          <w:lang w:eastAsia="en-ZA"/>
        </w:rPr>
        <w:lastRenderedPageBreak/>
        <w:t>The generator will be responsible to sign a Use of System agreement (UoS) that will include the following:</w:t>
      </w:r>
    </w:p>
    <w:p w14:paraId="235CB04D" w14:textId="77777777" w:rsidR="00D6210D" w:rsidRPr="00563D40" w:rsidRDefault="00D6210D" w:rsidP="00871EE8">
      <w:pPr>
        <w:pStyle w:val="BodyText"/>
        <w:numPr>
          <w:ilvl w:val="0"/>
          <w:numId w:val="60"/>
        </w:numPr>
        <w:spacing w:beforeLines="60" w:before="144" w:afterLines="60" w:after="144" w:line="240" w:lineRule="auto"/>
        <w:ind w:left="709"/>
        <w:rPr>
          <w:rFonts w:ascii="Century Gothic" w:hAnsi="Century Gothic"/>
          <w:lang w:eastAsia="en-ZA"/>
        </w:rPr>
      </w:pPr>
      <w:r w:rsidRPr="00563D40">
        <w:rPr>
          <w:rFonts w:ascii="Century Gothic" w:hAnsi="Century Gothic"/>
          <w:lang w:eastAsia="en-ZA"/>
        </w:rPr>
        <w:t>Network charges</w:t>
      </w:r>
    </w:p>
    <w:p w14:paraId="35E4377D" w14:textId="77777777" w:rsidR="00D6210D" w:rsidRPr="00563D40" w:rsidRDefault="00D6210D" w:rsidP="00871EE8">
      <w:pPr>
        <w:pStyle w:val="BodyText"/>
        <w:numPr>
          <w:ilvl w:val="0"/>
          <w:numId w:val="60"/>
        </w:numPr>
        <w:spacing w:beforeLines="60" w:before="144" w:afterLines="60" w:after="144" w:line="240" w:lineRule="auto"/>
        <w:ind w:left="709"/>
        <w:rPr>
          <w:rFonts w:ascii="Century Gothic" w:hAnsi="Century Gothic"/>
          <w:lang w:eastAsia="en-ZA"/>
        </w:rPr>
      </w:pPr>
      <w:r w:rsidRPr="00563D40">
        <w:rPr>
          <w:rFonts w:ascii="Century Gothic" w:hAnsi="Century Gothic"/>
          <w:lang w:eastAsia="en-ZA"/>
        </w:rPr>
        <w:t>Development/Capital charges</w:t>
      </w:r>
    </w:p>
    <w:p w14:paraId="0F31951F" w14:textId="0F8439B5" w:rsidR="00D6210D" w:rsidRPr="00563D40" w:rsidRDefault="00D6210D" w:rsidP="00871EE8">
      <w:pPr>
        <w:pStyle w:val="BodyText"/>
        <w:numPr>
          <w:ilvl w:val="0"/>
          <w:numId w:val="60"/>
        </w:numPr>
        <w:spacing w:beforeLines="60" w:before="144" w:afterLines="60" w:after="144" w:line="240" w:lineRule="auto"/>
        <w:ind w:left="709"/>
        <w:rPr>
          <w:rFonts w:ascii="Century Gothic" w:hAnsi="Century Gothic"/>
          <w:lang w:eastAsia="en-ZA"/>
        </w:rPr>
      </w:pPr>
      <w:r w:rsidRPr="00563D40">
        <w:rPr>
          <w:rFonts w:ascii="Century Gothic" w:hAnsi="Century Gothic"/>
          <w:lang w:eastAsia="en-ZA"/>
        </w:rPr>
        <w:t>Tariff charges (includes all basic and demand charges)</w:t>
      </w:r>
    </w:p>
    <w:p w14:paraId="7C329083" w14:textId="5C7CD0F4" w:rsidR="00D6210D" w:rsidRPr="00563D40" w:rsidRDefault="00D6210D" w:rsidP="00871EE8">
      <w:pPr>
        <w:pStyle w:val="BodyText"/>
        <w:numPr>
          <w:ilvl w:val="0"/>
          <w:numId w:val="34"/>
        </w:numPr>
        <w:spacing w:beforeLines="60" w:before="144" w:afterLines="60" w:after="144" w:line="240" w:lineRule="auto"/>
        <w:rPr>
          <w:rFonts w:ascii="Century Gothic" w:hAnsi="Century Gothic"/>
          <w:lang w:eastAsia="en-ZA"/>
        </w:rPr>
      </w:pPr>
      <w:r w:rsidRPr="00563D40">
        <w:rPr>
          <w:rFonts w:ascii="Century Gothic" w:hAnsi="Century Gothic"/>
          <w:lang w:eastAsia="en-ZA"/>
        </w:rPr>
        <w:t>The Customer (Off-Taker) will be responsible for</w:t>
      </w:r>
      <w:r w:rsidR="006D7662">
        <w:rPr>
          <w:rFonts w:ascii="Century Gothic" w:hAnsi="Century Gothic"/>
          <w:lang w:eastAsia="en-ZA"/>
        </w:rPr>
        <w:t>:</w:t>
      </w:r>
    </w:p>
    <w:p w14:paraId="3ADEF205" w14:textId="77777777" w:rsidR="00D6210D" w:rsidRPr="00563D40" w:rsidRDefault="00D6210D" w:rsidP="00871EE8">
      <w:pPr>
        <w:pStyle w:val="BodyText"/>
        <w:numPr>
          <w:ilvl w:val="0"/>
          <w:numId w:val="61"/>
        </w:numPr>
        <w:spacing w:beforeLines="60" w:before="144" w:afterLines="60" w:after="144" w:line="240" w:lineRule="auto"/>
        <w:rPr>
          <w:rFonts w:ascii="Century Gothic" w:hAnsi="Century Gothic"/>
          <w:lang w:eastAsia="en-ZA"/>
        </w:rPr>
      </w:pPr>
      <w:r w:rsidRPr="00563D40">
        <w:rPr>
          <w:rFonts w:ascii="Century Gothic" w:hAnsi="Century Gothic"/>
          <w:lang w:eastAsia="en-ZA"/>
        </w:rPr>
        <w:t>Signing a PPA with the generator</w:t>
      </w:r>
    </w:p>
    <w:p w14:paraId="15F76A2F" w14:textId="5EA69CAF" w:rsidR="00D6210D" w:rsidRPr="00563D40" w:rsidRDefault="00D6210D" w:rsidP="00871EE8">
      <w:pPr>
        <w:pStyle w:val="BodyText"/>
        <w:numPr>
          <w:ilvl w:val="0"/>
          <w:numId w:val="61"/>
        </w:numPr>
        <w:spacing w:beforeLines="60" w:before="144" w:afterLines="60" w:after="144" w:line="240" w:lineRule="auto"/>
        <w:rPr>
          <w:rFonts w:ascii="Century Gothic" w:hAnsi="Century Gothic"/>
          <w:lang w:eastAsia="en-ZA"/>
        </w:rPr>
      </w:pPr>
      <w:r w:rsidRPr="00563D40">
        <w:rPr>
          <w:rFonts w:ascii="Century Gothic" w:hAnsi="Century Gothic"/>
          <w:lang w:eastAsia="en-ZA"/>
        </w:rPr>
        <w:t>Amended supply agreement with the municipality</w:t>
      </w:r>
    </w:p>
    <w:p w14:paraId="4FB141AC" w14:textId="38D5CDCD" w:rsidR="00D6210D" w:rsidRPr="00563D40" w:rsidRDefault="00D6210D" w:rsidP="00871EE8">
      <w:pPr>
        <w:pStyle w:val="BodyText"/>
        <w:numPr>
          <w:ilvl w:val="0"/>
          <w:numId w:val="34"/>
        </w:numPr>
        <w:spacing w:beforeLines="60" w:before="144" w:afterLines="60" w:after="144" w:line="240" w:lineRule="auto"/>
        <w:rPr>
          <w:rFonts w:ascii="Century Gothic" w:hAnsi="Century Gothic"/>
          <w:lang w:eastAsia="en-ZA"/>
        </w:rPr>
      </w:pPr>
      <w:r w:rsidRPr="00563D40">
        <w:rPr>
          <w:rFonts w:ascii="Century Gothic" w:hAnsi="Century Gothic"/>
          <w:lang w:eastAsia="en-ZA"/>
        </w:rPr>
        <w:t>Limit on total capacity - An allocation of Swartland Municipality’s notified maximum demand (NMD) per infeed substation will be allocated to third</w:t>
      </w:r>
      <w:r w:rsidR="00DB177D">
        <w:rPr>
          <w:rFonts w:ascii="Century Gothic" w:hAnsi="Century Gothic"/>
          <w:lang w:eastAsia="en-ZA"/>
        </w:rPr>
        <w:t>-</w:t>
      </w:r>
      <w:r w:rsidRPr="00563D40">
        <w:rPr>
          <w:rFonts w:ascii="Century Gothic" w:hAnsi="Century Gothic"/>
          <w:lang w:eastAsia="en-ZA"/>
        </w:rPr>
        <w:t xml:space="preserve">party energy providers.  This value is set to 25% of the NMD per substation.  </w:t>
      </w:r>
    </w:p>
    <w:p w14:paraId="5E3150F4" w14:textId="77777777" w:rsidR="00D6210D" w:rsidRPr="00563D40" w:rsidRDefault="00D6210D" w:rsidP="00871EE8">
      <w:pPr>
        <w:pStyle w:val="BodyText"/>
        <w:numPr>
          <w:ilvl w:val="0"/>
          <w:numId w:val="62"/>
        </w:numPr>
        <w:spacing w:beforeLines="60" w:before="144" w:afterLines="60" w:after="144" w:line="240" w:lineRule="auto"/>
        <w:ind w:left="709"/>
        <w:rPr>
          <w:rFonts w:ascii="Century Gothic" w:hAnsi="Century Gothic"/>
          <w:lang w:eastAsia="en-ZA"/>
        </w:rPr>
      </w:pPr>
      <w:r w:rsidRPr="00563D40">
        <w:rPr>
          <w:rFonts w:ascii="Century Gothic" w:hAnsi="Century Gothic"/>
          <w:lang w:eastAsia="en-ZA"/>
        </w:rPr>
        <w:t xml:space="preserve">For the </w:t>
      </w:r>
      <w:proofErr w:type="spellStart"/>
      <w:r w:rsidRPr="00563D40">
        <w:rPr>
          <w:rFonts w:ascii="Century Gothic" w:hAnsi="Century Gothic"/>
          <w:lang w:eastAsia="en-ZA"/>
        </w:rPr>
        <w:t>Malmesbury</w:t>
      </w:r>
      <w:proofErr w:type="spellEnd"/>
      <w:r w:rsidRPr="00563D40">
        <w:rPr>
          <w:rFonts w:ascii="Century Gothic" w:hAnsi="Century Gothic"/>
          <w:lang w:eastAsia="en-ZA"/>
        </w:rPr>
        <w:t xml:space="preserve"> infeed substation this limit is set a 5.75 MVA based on a NMD of 23 MVA. </w:t>
      </w:r>
    </w:p>
    <w:p w14:paraId="24FB88F1" w14:textId="77777777" w:rsidR="00D6210D" w:rsidRPr="00563D40" w:rsidRDefault="00D6210D" w:rsidP="00871EE8">
      <w:pPr>
        <w:pStyle w:val="BodyText"/>
        <w:numPr>
          <w:ilvl w:val="0"/>
          <w:numId w:val="62"/>
        </w:numPr>
        <w:spacing w:beforeLines="60" w:before="144" w:afterLines="60" w:after="144" w:line="240" w:lineRule="auto"/>
        <w:ind w:left="709"/>
        <w:rPr>
          <w:rFonts w:ascii="Century Gothic" w:hAnsi="Century Gothic"/>
          <w:lang w:eastAsia="en-ZA"/>
        </w:rPr>
      </w:pPr>
      <w:r w:rsidRPr="00563D40">
        <w:rPr>
          <w:rFonts w:ascii="Century Gothic" w:hAnsi="Century Gothic"/>
          <w:lang w:eastAsia="en-ZA"/>
        </w:rPr>
        <w:t xml:space="preserve">For </w:t>
      </w:r>
      <w:proofErr w:type="spellStart"/>
      <w:r w:rsidRPr="00563D40">
        <w:rPr>
          <w:rFonts w:ascii="Century Gothic" w:hAnsi="Century Gothic"/>
          <w:lang w:eastAsia="en-ZA"/>
        </w:rPr>
        <w:t>Klipfontein</w:t>
      </w:r>
      <w:proofErr w:type="spellEnd"/>
      <w:r w:rsidRPr="00563D40">
        <w:rPr>
          <w:rFonts w:ascii="Century Gothic" w:hAnsi="Century Gothic"/>
          <w:lang w:eastAsia="en-ZA"/>
        </w:rPr>
        <w:t xml:space="preserve"> substation the limit is 1.5 MVA, </w:t>
      </w:r>
    </w:p>
    <w:p w14:paraId="60C15965" w14:textId="77777777" w:rsidR="00D6210D" w:rsidRPr="00563D40" w:rsidRDefault="00D6210D" w:rsidP="00871EE8">
      <w:pPr>
        <w:pStyle w:val="BodyText"/>
        <w:numPr>
          <w:ilvl w:val="0"/>
          <w:numId w:val="62"/>
        </w:numPr>
        <w:spacing w:beforeLines="60" w:before="144" w:afterLines="60" w:after="144" w:line="240" w:lineRule="auto"/>
        <w:ind w:left="709"/>
        <w:rPr>
          <w:rFonts w:ascii="Century Gothic" w:hAnsi="Century Gothic"/>
          <w:lang w:eastAsia="en-ZA"/>
        </w:rPr>
      </w:pPr>
      <w:r w:rsidRPr="00563D40">
        <w:rPr>
          <w:rFonts w:ascii="Century Gothic" w:hAnsi="Century Gothic"/>
          <w:lang w:eastAsia="en-ZA"/>
        </w:rPr>
        <w:t>For Darling this will be 1.375 MVA,</w:t>
      </w:r>
    </w:p>
    <w:p w14:paraId="748F5B58" w14:textId="77777777" w:rsidR="00D6210D" w:rsidRPr="00563D40" w:rsidRDefault="00D6210D" w:rsidP="00871EE8">
      <w:pPr>
        <w:pStyle w:val="BodyText"/>
        <w:numPr>
          <w:ilvl w:val="0"/>
          <w:numId w:val="62"/>
        </w:numPr>
        <w:spacing w:beforeLines="60" w:before="144" w:afterLines="60" w:after="144" w:line="240" w:lineRule="auto"/>
        <w:ind w:left="709"/>
        <w:rPr>
          <w:rFonts w:ascii="Century Gothic" w:hAnsi="Century Gothic"/>
          <w:lang w:eastAsia="en-ZA"/>
        </w:rPr>
      </w:pPr>
      <w:r w:rsidRPr="00563D40">
        <w:rPr>
          <w:rFonts w:ascii="Century Gothic" w:hAnsi="Century Gothic"/>
          <w:lang w:eastAsia="en-ZA"/>
        </w:rPr>
        <w:t xml:space="preserve">For </w:t>
      </w:r>
      <w:proofErr w:type="spellStart"/>
      <w:r w:rsidRPr="00563D40">
        <w:rPr>
          <w:rFonts w:ascii="Century Gothic" w:hAnsi="Century Gothic"/>
          <w:lang w:eastAsia="en-ZA"/>
        </w:rPr>
        <w:t>Moorreesburg</w:t>
      </w:r>
      <w:proofErr w:type="spellEnd"/>
      <w:r w:rsidRPr="00563D40">
        <w:rPr>
          <w:rFonts w:ascii="Century Gothic" w:hAnsi="Century Gothic"/>
          <w:lang w:eastAsia="en-ZA"/>
        </w:rPr>
        <w:t xml:space="preserve"> it will be 2.125 MVA and </w:t>
      </w:r>
    </w:p>
    <w:p w14:paraId="3AB02F23" w14:textId="77777777" w:rsidR="00D6210D" w:rsidRPr="00563D40" w:rsidRDefault="00D6210D" w:rsidP="00871EE8">
      <w:pPr>
        <w:pStyle w:val="BodyText"/>
        <w:numPr>
          <w:ilvl w:val="0"/>
          <w:numId w:val="62"/>
        </w:numPr>
        <w:spacing w:beforeLines="60" w:before="144" w:afterLines="60" w:after="144" w:line="240" w:lineRule="auto"/>
        <w:ind w:left="709"/>
        <w:rPr>
          <w:rFonts w:ascii="Century Gothic" w:hAnsi="Century Gothic"/>
          <w:lang w:eastAsia="en-ZA"/>
        </w:rPr>
      </w:pPr>
      <w:r w:rsidRPr="00563D40">
        <w:rPr>
          <w:rFonts w:ascii="Century Gothic" w:hAnsi="Century Gothic"/>
          <w:lang w:eastAsia="en-ZA"/>
        </w:rPr>
        <w:t xml:space="preserve">For </w:t>
      </w:r>
      <w:proofErr w:type="spellStart"/>
      <w:r w:rsidRPr="00563D40">
        <w:rPr>
          <w:rFonts w:ascii="Century Gothic" w:hAnsi="Century Gothic"/>
          <w:lang w:eastAsia="en-ZA"/>
        </w:rPr>
        <w:t>Yzerfontein</w:t>
      </w:r>
      <w:proofErr w:type="spellEnd"/>
      <w:r w:rsidRPr="00563D40">
        <w:rPr>
          <w:rFonts w:ascii="Century Gothic" w:hAnsi="Century Gothic"/>
          <w:lang w:eastAsia="en-ZA"/>
        </w:rPr>
        <w:t xml:space="preserve"> 1.05MVA.  </w:t>
      </w:r>
    </w:p>
    <w:p w14:paraId="140D2869" w14:textId="77777777" w:rsidR="00D6210D" w:rsidRPr="00563D40" w:rsidRDefault="00D6210D" w:rsidP="00871EE8">
      <w:pPr>
        <w:pStyle w:val="BodyText"/>
        <w:numPr>
          <w:ilvl w:val="0"/>
          <w:numId w:val="62"/>
        </w:numPr>
        <w:spacing w:beforeLines="60" w:before="144" w:afterLines="60" w:after="144" w:line="240" w:lineRule="auto"/>
        <w:ind w:left="709"/>
        <w:rPr>
          <w:rFonts w:ascii="Century Gothic" w:hAnsi="Century Gothic"/>
          <w:lang w:eastAsia="en-ZA"/>
        </w:rPr>
      </w:pPr>
      <w:r w:rsidRPr="00563D40">
        <w:rPr>
          <w:rFonts w:ascii="Century Gothic" w:hAnsi="Century Gothic"/>
          <w:lang w:eastAsia="en-ZA"/>
        </w:rPr>
        <w:t>The total allocation will not exceed 9.675 MVA.</w:t>
      </w:r>
    </w:p>
    <w:p w14:paraId="009B4309" w14:textId="1E811830" w:rsidR="00BB7FC0" w:rsidRPr="008502B0" w:rsidRDefault="00D6210D" w:rsidP="00541C65">
      <w:pPr>
        <w:pStyle w:val="BodyText"/>
        <w:numPr>
          <w:ilvl w:val="0"/>
          <w:numId w:val="34"/>
        </w:numPr>
        <w:spacing w:beforeLines="60" w:before="144" w:afterLines="60" w:after="144" w:line="240" w:lineRule="auto"/>
        <w:rPr>
          <w:rFonts w:ascii="Century Gothic" w:hAnsi="Century Gothic"/>
          <w:lang w:eastAsia="en-ZA"/>
        </w:rPr>
      </w:pPr>
      <w:r w:rsidRPr="00563D40">
        <w:rPr>
          <w:rFonts w:ascii="Century Gothic" w:hAnsi="Century Gothic"/>
          <w:lang w:eastAsia="en-ZA"/>
        </w:rPr>
        <w:t xml:space="preserve">The tariff will be surplus neutral plus for the municipality. Any additional charges for wheeling added by Eskom to the municipality’s account will be for the </w:t>
      </w:r>
      <w:r w:rsidR="007E03E0">
        <w:rPr>
          <w:rFonts w:ascii="Century Gothic" w:hAnsi="Century Gothic"/>
          <w:lang w:eastAsia="en-ZA"/>
        </w:rPr>
        <w:t>off-taker</w:t>
      </w:r>
      <w:r w:rsidRPr="00563D40">
        <w:rPr>
          <w:rFonts w:ascii="Century Gothic" w:hAnsi="Century Gothic"/>
          <w:lang w:eastAsia="en-ZA"/>
        </w:rPr>
        <w:t>s account.</w:t>
      </w:r>
    </w:p>
    <w:p w14:paraId="23ADAE25" w14:textId="6F86BFD9" w:rsidR="00541C65" w:rsidRPr="00541C65" w:rsidRDefault="006D1993" w:rsidP="00541C65">
      <w:pPr>
        <w:pStyle w:val="Heading1"/>
        <w:ind w:left="57"/>
      </w:pPr>
      <w:bookmarkStart w:id="57" w:name="_Toc145484209"/>
      <w:r>
        <w:t xml:space="preserve">Annexure C </w:t>
      </w:r>
      <w:r w:rsidR="00FC7E3F">
        <w:t xml:space="preserve">- </w:t>
      </w:r>
      <w:r w:rsidR="00541C65" w:rsidRPr="00541C65">
        <w:t>Smart Meter</w:t>
      </w:r>
      <w:r w:rsidR="00477DA1">
        <w:t>ing</w:t>
      </w:r>
      <w:r w:rsidR="00541C65" w:rsidRPr="00541C65">
        <w:t xml:space="preserve"> Solution Components</w:t>
      </w:r>
      <w:bookmarkEnd w:id="57"/>
    </w:p>
    <w:p w14:paraId="4179F64E" w14:textId="2EA63EE3" w:rsidR="00541C65" w:rsidRPr="00541C65" w:rsidRDefault="00541C65" w:rsidP="00EE0BDC">
      <w:pPr>
        <w:spacing w:beforeLines="60" w:before="144" w:afterLines="60" w:after="144" w:line="240" w:lineRule="auto"/>
        <w:rPr>
          <w:rFonts w:ascii="Century Gothic" w:eastAsia="Times New Roman" w:hAnsi="Century Gothic" w:cs="Segoe UI"/>
        </w:rPr>
      </w:pPr>
      <w:r w:rsidRPr="00541C65">
        <w:rPr>
          <w:rFonts w:ascii="Century Gothic" w:eastAsia="Times New Roman" w:hAnsi="Century Gothic" w:cs="Segoe UI"/>
        </w:rPr>
        <w:t xml:space="preserve">By integrating these key components, smart meter solutions provide </w:t>
      </w:r>
      <w:r w:rsidR="006D1993">
        <w:rPr>
          <w:rFonts w:ascii="Century Gothic" w:eastAsia="Times New Roman" w:hAnsi="Century Gothic" w:cs="Segoe UI"/>
        </w:rPr>
        <w:t>Municipalities</w:t>
      </w:r>
      <w:r w:rsidRPr="00541C65">
        <w:rPr>
          <w:rFonts w:ascii="Century Gothic" w:eastAsia="Times New Roman" w:hAnsi="Century Gothic" w:cs="Segoe UI"/>
        </w:rPr>
        <w:t xml:space="preserve"> and consumers with real-time data, enhanced energy management capabilities, improved customer service, and a more secure and resilient energy infrastructure.</w:t>
      </w:r>
    </w:p>
    <w:p w14:paraId="58FE7DAF" w14:textId="77777777" w:rsidR="00541C65" w:rsidRPr="00541C65" w:rsidRDefault="00541C65" w:rsidP="00871EE8">
      <w:pPr>
        <w:pStyle w:val="BodyText"/>
        <w:numPr>
          <w:ilvl w:val="0"/>
          <w:numId w:val="34"/>
        </w:numPr>
        <w:spacing w:beforeLines="60" w:before="144" w:afterLines="60" w:after="144" w:line="240" w:lineRule="auto"/>
        <w:rPr>
          <w:rFonts w:ascii="Century Gothic" w:hAnsi="Century Gothic"/>
          <w:lang w:eastAsia="en-ZA"/>
        </w:rPr>
      </w:pPr>
      <w:r w:rsidRPr="00541C65">
        <w:rPr>
          <w:rFonts w:ascii="Century Gothic" w:hAnsi="Century Gothic"/>
          <w:lang w:eastAsia="en-ZA"/>
        </w:rPr>
        <w:t>Smart Meters: Electronic devices that replace traditional meters and measure electricity consumption. They provide real-time or near-real-time data on energy consumption, meter events, load profiles, and more. Smart meters are a fundamental component of the smart meter solution, enabling two-way communication with the utility.</w:t>
      </w:r>
    </w:p>
    <w:p w14:paraId="36287DEA" w14:textId="77777777" w:rsidR="00541C65" w:rsidRPr="00541C65" w:rsidRDefault="00541C65" w:rsidP="00871EE8">
      <w:pPr>
        <w:pStyle w:val="BodyText"/>
        <w:numPr>
          <w:ilvl w:val="0"/>
          <w:numId w:val="34"/>
        </w:numPr>
        <w:spacing w:beforeLines="60" w:before="144" w:afterLines="60" w:after="144" w:line="240" w:lineRule="auto"/>
        <w:rPr>
          <w:rFonts w:ascii="Century Gothic" w:hAnsi="Century Gothic"/>
          <w:lang w:eastAsia="en-ZA"/>
        </w:rPr>
      </w:pPr>
      <w:r w:rsidRPr="00541C65">
        <w:rPr>
          <w:rFonts w:ascii="Century Gothic" w:hAnsi="Century Gothic"/>
          <w:lang w:eastAsia="en-ZA"/>
        </w:rPr>
        <w:t>Head-End System (HES): The central management platform for the smart meter solution. It receives and processes data from smart meters through the communication network. The HES performs data aggregation, validation, and storage, ensuring the accuracy and reliability of the collected data.</w:t>
      </w:r>
    </w:p>
    <w:p w14:paraId="4A733D98" w14:textId="77777777" w:rsidR="00541C65" w:rsidRPr="00541C65" w:rsidRDefault="00541C65" w:rsidP="00871EE8">
      <w:pPr>
        <w:pStyle w:val="BodyText"/>
        <w:numPr>
          <w:ilvl w:val="0"/>
          <w:numId w:val="34"/>
        </w:numPr>
        <w:spacing w:beforeLines="60" w:before="144" w:afterLines="60" w:after="144" w:line="240" w:lineRule="auto"/>
        <w:rPr>
          <w:rFonts w:ascii="Century Gothic" w:hAnsi="Century Gothic"/>
          <w:lang w:eastAsia="en-ZA"/>
        </w:rPr>
      </w:pPr>
      <w:r w:rsidRPr="00541C65">
        <w:rPr>
          <w:rFonts w:ascii="Century Gothic" w:hAnsi="Century Gothic"/>
          <w:lang w:eastAsia="en-ZA"/>
        </w:rPr>
        <w:t xml:space="preserve">Meter Data Management System (MDMS): An essential software component that manages and processes the vast amount of data collected from smart meters. It integrates with the HES to store and </w:t>
      </w:r>
      <w:proofErr w:type="spellStart"/>
      <w:r w:rsidRPr="00541C65">
        <w:rPr>
          <w:rFonts w:ascii="Century Gothic" w:hAnsi="Century Gothic"/>
          <w:lang w:eastAsia="en-ZA"/>
        </w:rPr>
        <w:t>analyze</w:t>
      </w:r>
      <w:proofErr w:type="spellEnd"/>
      <w:r w:rsidRPr="00541C65">
        <w:rPr>
          <w:rFonts w:ascii="Century Gothic" w:hAnsi="Century Gothic"/>
          <w:lang w:eastAsia="en-ZA"/>
        </w:rPr>
        <w:t xml:space="preserve"> energy consumption data, load profiles, and other relevant information. The MDMS provides utilities with valuable insights into customer </w:t>
      </w:r>
      <w:proofErr w:type="spellStart"/>
      <w:r w:rsidRPr="00541C65">
        <w:rPr>
          <w:rFonts w:ascii="Century Gothic" w:hAnsi="Century Gothic"/>
          <w:lang w:eastAsia="en-ZA"/>
        </w:rPr>
        <w:t>behavior</w:t>
      </w:r>
      <w:proofErr w:type="spellEnd"/>
      <w:r w:rsidRPr="00541C65">
        <w:rPr>
          <w:rFonts w:ascii="Century Gothic" w:hAnsi="Century Gothic"/>
          <w:lang w:eastAsia="en-ZA"/>
        </w:rPr>
        <w:t xml:space="preserve"> and grid performance.</w:t>
      </w:r>
    </w:p>
    <w:p w14:paraId="420EC3EA" w14:textId="207E28AE" w:rsidR="00541C65" w:rsidRPr="00015498" w:rsidRDefault="00541C65" w:rsidP="00015498">
      <w:pPr>
        <w:pStyle w:val="BodyText"/>
        <w:numPr>
          <w:ilvl w:val="0"/>
          <w:numId w:val="34"/>
        </w:numPr>
        <w:spacing w:beforeLines="60" w:before="144" w:afterLines="60" w:after="144" w:line="240" w:lineRule="auto"/>
        <w:rPr>
          <w:rFonts w:ascii="Century Gothic" w:hAnsi="Century Gothic"/>
          <w:lang w:eastAsia="en-ZA"/>
        </w:rPr>
      </w:pPr>
      <w:r w:rsidRPr="00541C65">
        <w:rPr>
          <w:rFonts w:ascii="Century Gothic" w:hAnsi="Century Gothic"/>
          <w:lang w:eastAsia="en-ZA"/>
        </w:rPr>
        <w:t>Communication Network: The backbone of the smart meter solution, enabling data transmission between smart meters and the utility's back-end systems. Various technologies, such as powerline communication, radio frequency, or cellular networks, establish robust and secure communication channels.</w:t>
      </w:r>
      <w:r w:rsidR="000215BE">
        <w:rPr>
          <w:rFonts w:ascii="Century Gothic" w:hAnsi="Century Gothic"/>
          <w:lang w:eastAsia="en-ZA"/>
        </w:rPr>
        <w:t xml:space="preserve"> </w:t>
      </w:r>
      <w:r w:rsidR="00DC7675" w:rsidRPr="00DC7675">
        <w:rPr>
          <w:rFonts w:ascii="Century Gothic" w:hAnsi="Century Gothic"/>
          <w:lang w:eastAsia="en-ZA"/>
        </w:rPr>
        <w:t xml:space="preserve">The choice of communication network depends on factors such as the geographical distribution of smart meters, the density of meters in an area, available infrastructure, cost considerations, data security requirements, and the expected data volume. For example, in urban areas with high smart </w:t>
      </w:r>
      <w:r w:rsidR="00DC7675" w:rsidRPr="00DC7675">
        <w:rPr>
          <w:rFonts w:ascii="Century Gothic" w:hAnsi="Century Gothic"/>
          <w:lang w:eastAsia="en-ZA"/>
        </w:rPr>
        <w:lastRenderedPageBreak/>
        <w:t>meter density, RF or cellular networks might be suitable due to their coverage and speed. In contrast, remote rural areas might require satellite or cellular communication.</w:t>
      </w:r>
      <w:r w:rsidR="00015498">
        <w:rPr>
          <w:rFonts w:ascii="Century Gothic" w:hAnsi="Century Gothic"/>
          <w:lang w:eastAsia="en-ZA"/>
        </w:rPr>
        <w:t xml:space="preserve"> Communication options include:</w:t>
      </w:r>
    </w:p>
    <w:p w14:paraId="2AEBBA35" w14:textId="77777777" w:rsidR="00DC7675" w:rsidRPr="00DC7675" w:rsidRDefault="00DC7675" w:rsidP="00015498">
      <w:pPr>
        <w:pStyle w:val="BodyText"/>
        <w:numPr>
          <w:ilvl w:val="1"/>
          <w:numId w:val="78"/>
        </w:numPr>
        <w:spacing w:beforeLines="60" w:before="144" w:afterLines="60" w:after="144" w:line="240" w:lineRule="auto"/>
        <w:rPr>
          <w:rFonts w:ascii="Century Gothic" w:hAnsi="Century Gothic"/>
          <w:lang w:eastAsia="en-ZA"/>
        </w:rPr>
      </w:pPr>
      <w:r w:rsidRPr="00DC7675">
        <w:rPr>
          <w:rFonts w:ascii="Century Gothic" w:hAnsi="Century Gothic"/>
          <w:lang w:eastAsia="en-ZA"/>
        </w:rPr>
        <w:t>Powerline Communication (PLC): Powerline communication uses the existing electrical wiring infrastructure to transmit data signals. This option is cost-effective since it utilizes the power lines already in place, but it might be affected by noise on the lines and can have limitations in terms of data speed and coverage.</w:t>
      </w:r>
    </w:p>
    <w:p w14:paraId="30535F31" w14:textId="77777777" w:rsidR="00DC7675" w:rsidRPr="00DC7675" w:rsidRDefault="00DC7675" w:rsidP="00015498">
      <w:pPr>
        <w:pStyle w:val="BodyText"/>
        <w:numPr>
          <w:ilvl w:val="1"/>
          <w:numId w:val="78"/>
        </w:numPr>
        <w:spacing w:beforeLines="60" w:before="144" w:afterLines="60" w:after="144" w:line="240" w:lineRule="auto"/>
        <w:rPr>
          <w:rFonts w:ascii="Century Gothic" w:hAnsi="Century Gothic"/>
          <w:lang w:eastAsia="en-ZA"/>
        </w:rPr>
      </w:pPr>
      <w:r w:rsidRPr="00DC7675">
        <w:rPr>
          <w:rFonts w:ascii="Century Gothic" w:hAnsi="Century Gothic"/>
          <w:lang w:eastAsia="en-ZA"/>
        </w:rPr>
        <w:t>Radio Frequency (RF): Radio frequency communication relies on wireless radio signals to transmit data. It offers good coverage and is suitable for both urban and rural areas. RF communication can be further divided into licensed and unlicensed bands. Licensed bands offer more reliable and secure communication, while unlicensed bands might experience interference from other devices using the same frequency range.</w:t>
      </w:r>
    </w:p>
    <w:p w14:paraId="0977AFC6" w14:textId="77777777" w:rsidR="00DC7675" w:rsidRPr="00DC7675" w:rsidRDefault="00DC7675" w:rsidP="00015498">
      <w:pPr>
        <w:pStyle w:val="BodyText"/>
        <w:numPr>
          <w:ilvl w:val="1"/>
          <w:numId w:val="78"/>
        </w:numPr>
        <w:spacing w:beforeLines="60" w:before="144" w:afterLines="60" w:after="144" w:line="240" w:lineRule="auto"/>
        <w:rPr>
          <w:rFonts w:ascii="Century Gothic" w:hAnsi="Century Gothic"/>
          <w:lang w:eastAsia="en-ZA"/>
        </w:rPr>
      </w:pPr>
      <w:r w:rsidRPr="00DC7675">
        <w:rPr>
          <w:rFonts w:ascii="Century Gothic" w:hAnsi="Century Gothic"/>
          <w:lang w:eastAsia="en-ZA"/>
        </w:rPr>
        <w:t>Cellular Networks: Cellular networks, like 3G, 4G, and potentially 5G, provide wide coverage and high-speed data transmission. They are especially suitable for remote and widely distributed smart meters. Cellular networks offer reliable communication, but costs can be higher due to data usage fees and the need for cellular module integration in smart meters.</w:t>
      </w:r>
    </w:p>
    <w:p w14:paraId="4F9EF1A8" w14:textId="77777777" w:rsidR="00DC7675" w:rsidRPr="00DC7675" w:rsidRDefault="00DC7675" w:rsidP="00015498">
      <w:pPr>
        <w:pStyle w:val="BodyText"/>
        <w:numPr>
          <w:ilvl w:val="1"/>
          <w:numId w:val="78"/>
        </w:numPr>
        <w:spacing w:beforeLines="60" w:before="144" w:afterLines="60" w:after="144" w:line="240" w:lineRule="auto"/>
        <w:rPr>
          <w:rFonts w:ascii="Century Gothic" w:hAnsi="Century Gothic"/>
          <w:lang w:eastAsia="en-ZA"/>
        </w:rPr>
      </w:pPr>
      <w:r w:rsidRPr="00DC7675">
        <w:rPr>
          <w:rFonts w:ascii="Century Gothic" w:hAnsi="Century Gothic"/>
          <w:lang w:eastAsia="en-ZA"/>
        </w:rPr>
        <w:t xml:space="preserve">Ethernet and </w:t>
      </w:r>
      <w:proofErr w:type="spellStart"/>
      <w:r w:rsidRPr="00DC7675">
        <w:rPr>
          <w:rFonts w:ascii="Century Gothic" w:hAnsi="Century Gothic"/>
          <w:lang w:eastAsia="en-ZA"/>
        </w:rPr>
        <w:t>Fiber</w:t>
      </w:r>
      <w:proofErr w:type="spellEnd"/>
      <w:r w:rsidRPr="00DC7675">
        <w:rPr>
          <w:rFonts w:ascii="Century Gothic" w:hAnsi="Century Gothic"/>
          <w:lang w:eastAsia="en-ZA"/>
        </w:rPr>
        <w:t xml:space="preserve"> Optics: Ethernet and </w:t>
      </w:r>
      <w:proofErr w:type="spellStart"/>
      <w:r w:rsidRPr="00DC7675">
        <w:rPr>
          <w:rFonts w:ascii="Century Gothic" w:hAnsi="Century Gothic"/>
          <w:lang w:eastAsia="en-ZA"/>
        </w:rPr>
        <w:t>fiber</w:t>
      </w:r>
      <w:proofErr w:type="spellEnd"/>
      <w:r w:rsidRPr="00DC7675">
        <w:rPr>
          <w:rFonts w:ascii="Century Gothic" w:hAnsi="Century Gothic"/>
          <w:lang w:eastAsia="en-ZA"/>
        </w:rPr>
        <w:t xml:space="preserve"> optic connections provide high-speed and reliable communication. However, they are typically used in scenarios where smart meters are installed in fixed locations, such as industrial or commercial settings.</w:t>
      </w:r>
    </w:p>
    <w:p w14:paraId="286889B1" w14:textId="77777777" w:rsidR="00655CEE" w:rsidRDefault="00DC7675" w:rsidP="00655CEE">
      <w:pPr>
        <w:pStyle w:val="BodyText"/>
        <w:numPr>
          <w:ilvl w:val="1"/>
          <w:numId w:val="78"/>
        </w:numPr>
        <w:spacing w:beforeLines="60" w:before="144" w:afterLines="60" w:after="144" w:line="240" w:lineRule="auto"/>
        <w:rPr>
          <w:rFonts w:ascii="Century Gothic" w:hAnsi="Century Gothic"/>
          <w:lang w:eastAsia="en-ZA"/>
        </w:rPr>
      </w:pPr>
      <w:r w:rsidRPr="00DC7675">
        <w:rPr>
          <w:rFonts w:ascii="Century Gothic" w:hAnsi="Century Gothic"/>
          <w:lang w:eastAsia="en-ZA"/>
        </w:rPr>
        <w:t>Satellite Communication: Satellite communication is ideal for remote or off-grid areas where other communication options are unavailable. It offers global coverage but can be expensive to implement and maintain.</w:t>
      </w:r>
    </w:p>
    <w:p w14:paraId="4505E961" w14:textId="6219DADB" w:rsidR="00015498" w:rsidRPr="00655CEE" w:rsidRDefault="00015498" w:rsidP="00655CEE">
      <w:pPr>
        <w:pStyle w:val="BodyText"/>
        <w:numPr>
          <w:ilvl w:val="1"/>
          <w:numId w:val="78"/>
        </w:numPr>
        <w:spacing w:beforeLines="60" w:before="144" w:afterLines="60" w:after="144" w:line="240" w:lineRule="auto"/>
        <w:rPr>
          <w:rFonts w:ascii="Century Gothic" w:hAnsi="Century Gothic"/>
          <w:lang w:eastAsia="en-ZA"/>
        </w:rPr>
      </w:pPr>
      <w:r w:rsidRPr="00655CEE">
        <w:rPr>
          <w:rFonts w:ascii="Century Gothic" w:hAnsi="Century Gothic"/>
          <w:lang w:eastAsia="en-ZA"/>
        </w:rPr>
        <w:t>Understanding these options is vital because selecting the right communication network ensures seamless and reliable data exchange between smart meters and utility systems. The chosen network should align with the utility's operational needs, budget, and the specific challenges posed by the geographical layout of the service area.</w:t>
      </w:r>
    </w:p>
    <w:p w14:paraId="4B7EBDBA" w14:textId="77777777" w:rsidR="00541C65" w:rsidRPr="00541C65" w:rsidRDefault="00541C65" w:rsidP="00871EE8">
      <w:pPr>
        <w:pStyle w:val="BodyText"/>
        <w:numPr>
          <w:ilvl w:val="0"/>
          <w:numId w:val="34"/>
        </w:numPr>
        <w:spacing w:beforeLines="60" w:before="144" w:afterLines="60" w:after="144" w:line="240" w:lineRule="auto"/>
        <w:rPr>
          <w:rFonts w:ascii="Century Gothic" w:hAnsi="Century Gothic"/>
          <w:lang w:eastAsia="en-ZA"/>
        </w:rPr>
      </w:pPr>
      <w:r w:rsidRPr="00541C65">
        <w:rPr>
          <w:rFonts w:ascii="Century Gothic" w:hAnsi="Century Gothic"/>
          <w:lang w:eastAsia="en-ZA"/>
        </w:rPr>
        <w:t>Data Concentrators: Devices that play a crucial role in large-scale smart meter deployments. They gather data from multiple smart meters and send it to the Head-End System for aggregation and processing, enhancing communication efficiency in extensive deployments.</w:t>
      </w:r>
    </w:p>
    <w:p w14:paraId="58415A9E" w14:textId="77777777" w:rsidR="00541C65" w:rsidRPr="00541C65" w:rsidRDefault="00541C65" w:rsidP="00871EE8">
      <w:pPr>
        <w:pStyle w:val="BodyText"/>
        <w:numPr>
          <w:ilvl w:val="0"/>
          <w:numId w:val="34"/>
        </w:numPr>
        <w:spacing w:beforeLines="60" w:before="144" w:afterLines="60" w:after="144" w:line="240" w:lineRule="auto"/>
        <w:rPr>
          <w:rFonts w:ascii="Century Gothic" w:hAnsi="Century Gothic"/>
          <w:lang w:eastAsia="en-ZA"/>
        </w:rPr>
      </w:pPr>
      <w:r w:rsidRPr="00541C65">
        <w:rPr>
          <w:rFonts w:ascii="Century Gothic" w:hAnsi="Century Gothic"/>
          <w:lang w:eastAsia="en-ZA"/>
        </w:rPr>
        <w:t>Customer Web Portal and Mobile Applications: User-friendly interfaces that empower customers to access their energy consumption data, view billing information, set energy-saving goals, and manage their accounts. Customers can monitor their energy usage, identify inefficiencies, and make informed decisions to optimize consumption, enhancing energy efficiency and cost savings.</w:t>
      </w:r>
    </w:p>
    <w:p w14:paraId="5E3E3544" w14:textId="77777777" w:rsidR="00541C65" w:rsidRPr="00541C65" w:rsidRDefault="00541C65" w:rsidP="00871EE8">
      <w:pPr>
        <w:pStyle w:val="BodyText"/>
        <w:numPr>
          <w:ilvl w:val="0"/>
          <w:numId w:val="34"/>
        </w:numPr>
        <w:spacing w:beforeLines="60" w:before="144" w:afterLines="60" w:after="144" w:line="240" w:lineRule="auto"/>
        <w:rPr>
          <w:rFonts w:ascii="Century Gothic" w:hAnsi="Century Gothic"/>
          <w:lang w:eastAsia="en-ZA"/>
        </w:rPr>
      </w:pPr>
      <w:r w:rsidRPr="00541C65">
        <w:rPr>
          <w:rFonts w:ascii="Century Gothic" w:hAnsi="Century Gothic"/>
          <w:lang w:eastAsia="en-ZA"/>
        </w:rPr>
        <w:t xml:space="preserve">Analytics and Reporting Tools: Components that </w:t>
      </w:r>
      <w:proofErr w:type="spellStart"/>
      <w:r w:rsidRPr="00541C65">
        <w:rPr>
          <w:rFonts w:ascii="Century Gothic" w:hAnsi="Century Gothic"/>
          <w:lang w:eastAsia="en-ZA"/>
        </w:rPr>
        <w:t>analyze</w:t>
      </w:r>
      <w:proofErr w:type="spellEnd"/>
      <w:r w:rsidRPr="00541C65">
        <w:rPr>
          <w:rFonts w:ascii="Century Gothic" w:hAnsi="Century Gothic"/>
          <w:lang w:eastAsia="en-ZA"/>
        </w:rPr>
        <w:t xml:space="preserve"> the vast data collected by smart meters, providing utilities with valuable insights into customer </w:t>
      </w:r>
      <w:proofErr w:type="spellStart"/>
      <w:r w:rsidRPr="00541C65">
        <w:rPr>
          <w:rFonts w:ascii="Century Gothic" w:hAnsi="Century Gothic"/>
          <w:lang w:eastAsia="en-ZA"/>
        </w:rPr>
        <w:t>behavior</w:t>
      </w:r>
      <w:proofErr w:type="spellEnd"/>
      <w:r w:rsidRPr="00541C65">
        <w:rPr>
          <w:rFonts w:ascii="Century Gothic" w:hAnsi="Century Gothic"/>
          <w:lang w:eastAsia="en-ZA"/>
        </w:rPr>
        <w:t>, load profiles, energy trends, and demand patterns. These analytics help optimize grid performance, implement demand-side management strategies, and plan infrastructure upgrades more effectively, leading to a more efficient and resilient energy system.</w:t>
      </w:r>
    </w:p>
    <w:p w14:paraId="138E51B0" w14:textId="77777777" w:rsidR="00541C65" w:rsidRPr="00541C65" w:rsidRDefault="00541C65" w:rsidP="00871EE8">
      <w:pPr>
        <w:pStyle w:val="BodyText"/>
        <w:numPr>
          <w:ilvl w:val="0"/>
          <w:numId w:val="34"/>
        </w:numPr>
        <w:spacing w:beforeLines="60" w:before="144" w:afterLines="60" w:after="144" w:line="240" w:lineRule="auto"/>
        <w:rPr>
          <w:rFonts w:ascii="Century Gothic" w:hAnsi="Century Gothic"/>
          <w:lang w:eastAsia="en-ZA"/>
        </w:rPr>
      </w:pPr>
      <w:r w:rsidRPr="00541C65">
        <w:rPr>
          <w:rFonts w:ascii="Century Gothic" w:hAnsi="Century Gothic"/>
          <w:lang w:eastAsia="en-ZA"/>
        </w:rPr>
        <w:t>Demand Response Management System (DRMS): A system that enables utilities to implement demand response programs, communicating with smart meters and other demand-side resources to adjust energy consumption during peak hours or grid stress situations. The DRMS facilitates load shedding or load shifting to balance energy supply and demand, reducing strain on the grid and avoiding potential outages.</w:t>
      </w:r>
    </w:p>
    <w:p w14:paraId="55E09A90" w14:textId="77777777" w:rsidR="00541C65" w:rsidRPr="00541C65" w:rsidRDefault="00541C65" w:rsidP="00871EE8">
      <w:pPr>
        <w:pStyle w:val="BodyText"/>
        <w:numPr>
          <w:ilvl w:val="0"/>
          <w:numId w:val="34"/>
        </w:numPr>
        <w:spacing w:beforeLines="60" w:before="144" w:afterLines="60" w:after="144" w:line="240" w:lineRule="auto"/>
        <w:rPr>
          <w:rFonts w:ascii="Century Gothic" w:hAnsi="Century Gothic"/>
          <w:lang w:eastAsia="en-ZA"/>
        </w:rPr>
      </w:pPr>
      <w:r w:rsidRPr="00541C65">
        <w:rPr>
          <w:rFonts w:ascii="Century Gothic" w:hAnsi="Century Gothic"/>
          <w:lang w:eastAsia="en-ZA"/>
        </w:rPr>
        <w:t xml:space="preserve">Billing and Customer Information System (CIS): An integrated system that generates accurate and timely bills for customers using consumption data from smart meters. The CIS </w:t>
      </w:r>
      <w:r w:rsidRPr="00541C65">
        <w:rPr>
          <w:rFonts w:ascii="Century Gothic" w:hAnsi="Century Gothic"/>
          <w:lang w:eastAsia="en-ZA"/>
        </w:rPr>
        <w:lastRenderedPageBreak/>
        <w:t>also manages customer accounts, handles billing disputes, and provides customer support services, streamlining billing processes and enhancing customer satisfaction.</w:t>
      </w:r>
    </w:p>
    <w:p w14:paraId="2496670C" w14:textId="77777777" w:rsidR="00541C65" w:rsidRPr="00541C65" w:rsidRDefault="00541C65" w:rsidP="00871EE8">
      <w:pPr>
        <w:pStyle w:val="BodyText"/>
        <w:numPr>
          <w:ilvl w:val="0"/>
          <w:numId w:val="34"/>
        </w:numPr>
        <w:spacing w:beforeLines="60" w:before="144" w:afterLines="60" w:after="144" w:line="240" w:lineRule="auto"/>
        <w:rPr>
          <w:rFonts w:ascii="Century Gothic" w:hAnsi="Century Gothic"/>
          <w:lang w:eastAsia="en-ZA"/>
        </w:rPr>
      </w:pPr>
      <w:r w:rsidRPr="00541C65">
        <w:rPr>
          <w:rFonts w:ascii="Century Gothic" w:hAnsi="Century Gothic"/>
          <w:lang w:eastAsia="en-ZA"/>
        </w:rPr>
        <w:t>Security and Authentication Systems: Robust security measures employed in smart meter solutions to protect sensitive consumer data and ensure system integrity. These systems include encryption protocols, secure communication channels, user authentication mechanisms, and data access controls, ensuring the confidentiality and privacy of customer information.</w:t>
      </w:r>
    </w:p>
    <w:p w14:paraId="1D47BE1B" w14:textId="530982CE" w:rsidR="00BB7FC0" w:rsidRPr="00B57374" w:rsidRDefault="00541C65" w:rsidP="00871EE8">
      <w:pPr>
        <w:pStyle w:val="BodyText"/>
        <w:numPr>
          <w:ilvl w:val="0"/>
          <w:numId w:val="34"/>
        </w:numPr>
        <w:spacing w:beforeLines="60" w:before="144" w:afterLines="60" w:after="144" w:line="240" w:lineRule="auto"/>
        <w:rPr>
          <w:rFonts w:ascii="Century Gothic" w:hAnsi="Century Gothic"/>
          <w:lang w:eastAsia="en-ZA"/>
        </w:rPr>
      </w:pPr>
      <w:r w:rsidRPr="00541C65">
        <w:rPr>
          <w:rFonts w:ascii="Century Gothic" w:hAnsi="Century Gothic"/>
          <w:lang w:eastAsia="en-ZA"/>
        </w:rPr>
        <w:t>Remote Firmware and Configuration Management: A component that allows utilities to remotely update smart meter software, perform maintenance tasks, and adjust meter settings without requiring physical access to each meter. It ensures efficient management and maintenance of the smart meter fleet, reducing operational costs and enhancing system reliability.</w:t>
      </w:r>
    </w:p>
    <w:p w14:paraId="0C73D200" w14:textId="77777777" w:rsidR="00B57374" w:rsidRPr="00891BF2" w:rsidRDefault="00B57374" w:rsidP="00EE0BDC">
      <w:pPr>
        <w:spacing w:beforeLines="60" w:before="144" w:afterLines="60" w:after="144" w:line="240" w:lineRule="auto"/>
        <w:rPr>
          <w:rFonts w:ascii="Century Gothic" w:eastAsia="Malgun Gothic" w:hAnsi="Century Gothic" w:cs="Wingdings"/>
        </w:rPr>
      </w:pPr>
      <w:r w:rsidRPr="00891BF2">
        <w:rPr>
          <w:rFonts w:ascii="Century Gothic" w:eastAsia="Malgun Gothic" w:hAnsi="Century Gothic" w:cs="Wingdings"/>
        </w:rPr>
        <w:t>The Meter Data Management System (MDMS) serves as the core platform for managing the vast amount of meter data generated by the Advanced Metering Infrastructure (AMI) system. It performs several essential functions, including:</w:t>
      </w:r>
    </w:p>
    <w:p w14:paraId="524C106F" w14:textId="7D44FE58" w:rsidR="00B57374" w:rsidRPr="00B57374" w:rsidRDefault="00B57374" w:rsidP="00871EE8">
      <w:pPr>
        <w:pStyle w:val="BodyText"/>
        <w:numPr>
          <w:ilvl w:val="0"/>
          <w:numId w:val="34"/>
        </w:numPr>
        <w:spacing w:beforeLines="60" w:before="144" w:afterLines="60" w:after="144" w:line="240" w:lineRule="auto"/>
        <w:rPr>
          <w:rFonts w:ascii="Century Gothic" w:hAnsi="Century Gothic"/>
          <w:lang w:eastAsia="en-ZA"/>
        </w:rPr>
      </w:pPr>
      <w:r w:rsidRPr="00B57374">
        <w:rPr>
          <w:rFonts w:ascii="Century Gothic" w:hAnsi="Century Gothic"/>
          <w:lang w:eastAsia="en-ZA"/>
        </w:rPr>
        <w:t>Data Collection: The MDMS receives meter data from various types of meters, , via the communication network. Its role is to ensure the accurate and timely collection of consumption data from each meter.</w:t>
      </w:r>
    </w:p>
    <w:p w14:paraId="4B1F4246" w14:textId="5ADE841B" w:rsidR="00B57374" w:rsidRPr="00B57374" w:rsidRDefault="00B57374" w:rsidP="00871EE8">
      <w:pPr>
        <w:pStyle w:val="BodyText"/>
        <w:numPr>
          <w:ilvl w:val="0"/>
          <w:numId w:val="34"/>
        </w:numPr>
        <w:spacing w:beforeLines="60" w:before="144" w:afterLines="60" w:after="144" w:line="240" w:lineRule="auto"/>
        <w:rPr>
          <w:rFonts w:ascii="Century Gothic" w:hAnsi="Century Gothic"/>
          <w:lang w:eastAsia="en-ZA"/>
        </w:rPr>
      </w:pPr>
      <w:r w:rsidRPr="00B57374">
        <w:rPr>
          <w:rFonts w:ascii="Century Gothic" w:hAnsi="Century Gothic"/>
          <w:lang w:eastAsia="en-ZA"/>
        </w:rPr>
        <w:t>Validation</w:t>
      </w:r>
      <w:r w:rsidR="003C5A34">
        <w:rPr>
          <w:rFonts w:ascii="Century Gothic" w:hAnsi="Century Gothic"/>
          <w:lang w:eastAsia="en-ZA"/>
        </w:rPr>
        <w:t>, Editing</w:t>
      </w:r>
      <w:r w:rsidRPr="00B57374">
        <w:rPr>
          <w:rFonts w:ascii="Century Gothic" w:hAnsi="Century Gothic"/>
          <w:lang w:eastAsia="en-ZA"/>
        </w:rPr>
        <w:t xml:space="preserve"> and Estimation </w:t>
      </w:r>
      <w:r w:rsidR="00A01102" w:rsidRPr="00B57374">
        <w:rPr>
          <w:rFonts w:ascii="Century Gothic" w:hAnsi="Century Gothic"/>
          <w:lang w:eastAsia="en-ZA"/>
        </w:rPr>
        <w:t>(VEE)</w:t>
      </w:r>
      <w:r w:rsidR="00A01102">
        <w:rPr>
          <w:rFonts w:ascii="Century Gothic" w:hAnsi="Century Gothic"/>
          <w:lang w:eastAsia="en-ZA"/>
        </w:rPr>
        <w:t xml:space="preserve"> </w:t>
      </w:r>
      <w:r w:rsidRPr="00B57374">
        <w:rPr>
          <w:rFonts w:ascii="Century Gothic" w:hAnsi="Century Gothic"/>
          <w:lang w:eastAsia="en-ZA"/>
        </w:rPr>
        <w:t>Rules: The MDMS performs validation checks on the received meter data to ensure its accuracy, completeness, and consistency. It identifies and flags potential errors or anomalies in the data, allowing for prompt remedial actions. These VEE rules help maintain the accuracy, completeness, and consistency of meter data within the MDMS. By applying these rules, the system can identify and flag any errors, anomalies, or missing data, facilitating prompt remedial actions.</w:t>
      </w:r>
    </w:p>
    <w:p w14:paraId="093E4A01" w14:textId="77777777" w:rsidR="00B57374" w:rsidRPr="00891BF2" w:rsidRDefault="00B57374" w:rsidP="00871EE8">
      <w:pPr>
        <w:numPr>
          <w:ilvl w:val="0"/>
          <w:numId w:val="58"/>
        </w:numPr>
        <w:spacing w:beforeLines="60" w:before="144" w:afterLines="60" w:after="144" w:line="240" w:lineRule="auto"/>
        <w:textAlignment w:val="center"/>
        <w:rPr>
          <w:rFonts w:ascii="Century Gothic" w:eastAsia="Malgun Gothic" w:hAnsi="Century Gothic" w:cs="Wingdings"/>
        </w:rPr>
      </w:pPr>
      <w:r w:rsidRPr="00891BF2">
        <w:rPr>
          <w:rFonts w:ascii="Century Gothic" w:eastAsia="Malgun Gothic" w:hAnsi="Century Gothic" w:cs="Wingdings"/>
        </w:rPr>
        <w:t>General</w:t>
      </w:r>
    </w:p>
    <w:p w14:paraId="35A9C249" w14:textId="77777777" w:rsidR="00B57374" w:rsidRPr="00891BF2" w:rsidRDefault="00B57374" w:rsidP="00871EE8">
      <w:pPr>
        <w:numPr>
          <w:ilvl w:val="0"/>
          <w:numId w:val="57"/>
        </w:numPr>
        <w:spacing w:beforeLines="60" w:before="144" w:afterLines="60" w:after="144" w:line="240" w:lineRule="auto"/>
        <w:textAlignment w:val="center"/>
        <w:rPr>
          <w:rFonts w:ascii="Century Gothic" w:eastAsia="Malgun Gothic" w:hAnsi="Century Gothic" w:cs="Wingdings"/>
        </w:rPr>
      </w:pPr>
      <w:r w:rsidRPr="00891BF2">
        <w:rPr>
          <w:rFonts w:ascii="Century Gothic" w:eastAsia="Malgun Gothic" w:hAnsi="Century Gothic" w:cs="Wingdings"/>
        </w:rPr>
        <w:t>The MDMS shall support automated rule-based validation and estimation (VEE) of raw metered data.</w:t>
      </w:r>
    </w:p>
    <w:p w14:paraId="4C8F2DA8" w14:textId="0F3E7A19" w:rsidR="00B57374" w:rsidRPr="00891BF2" w:rsidRDefault="00B57374" w:rsidP="00871EE8">
      <w:pPr>
        <w:numPr>
          <w:ilvl w:val="0"/>
          <w:numId w:val="57"/>
        </w:numPr>
        <w:spacing w:beforeLines="60" w:before="144" w:afterLines="60" w:after="144" w:line="240" w:lineRule="auto"/>
        <w:textAlignment w:val="center"/>
        <w:rPr>
          <w:rFonts w:ascii="Century Gothic" w:eastAsia="Malgun Gothic" w:hAnsi="Century Gothic" w:cs="Wingdings"/>
        </w:rPr>
      </w:pPr>
      <w:r w:rsidRPr="00891BF2">
        <w:rPr>
          <w:rFonts w:ascii="Century Gothic" w:eastAsia="Malgun Gothic" w:hAnsi="Century Gothic" w:cs="Wingdings"/>
        </w:rPr>
        <w:t>The MDMS system shall trigger the validation process automatically, once it was physically confirmed that the applicable rule can be applied (rule-based codes as required</w:t>
      </w:r>
      <w:r w:rsidR="000C5F02">
        <w:rPr>
          <w:rFonts w:ascii="Century Gothic" w:eastAsia="Malgun Gothic" w:hAnsi="Century Gothic" w:cs="Wingdings"/>
        </w:rPr>
        <w:t>)</w:t>
      </w:r>
      <w:r w:rsidRPr="00891BF2">
        <w:rPr>
          <w:rFonts w:ascii="Century Gothic" w:eastAsia="Malgun Gothic" w:hAnsi="Century Gothic" w:cs="Wingdings"/>
        </w:rPr>
        <w:t xml:space="preserve"> </w:t>
      </w:r>
    </w:p>
    <w:p w14:paraId="2BD75648" w14:textId="77777777" w:rsidR="00B57374" w:rsidRPr="00891BF2" w:rsidRDefault="00B57374" w:rsidP="00871EE8">
      <w:pPr>
        <w:numPr>
          <w:ilvl w:val="0"/>
          <w:numId w:val="57"/>
        </w:numPr>
        <w:spacing w:beforeLines="60" w:before="144" w:afterLines="60" w:after="144" w:line="240" w:lineRule="auto"/>
        <w:textAlignment w:val="center"/>
        <w:rPr>
          <w:rFonts w:ascii="Century Gothic" w:eastAsia="Malgun Gothic" w:hAnsi="Century Gothic" w:cs="Wingdings"/>
        </w:rPr>
      </w:pPr>
      <w:r w:rsidRPr="00891BF2">
        <w:rPr>
          <w:rFonts w:ascii="Century Gothic" w:eastAsia="Malgun Gothic" w:hAnsi="Century Gothic" w:cs="Wingdings"/>
        </w:rPr>
        <w:t>The limits and trigger points of the pre-defined validation rules shall be configurable and the MDMS shall have ability to define new rules.</w:t>
      </w:r>
    </w:p>
    <w:p w14:paraId="7F15D03C" w14:textId="347E5D58" w:rsidR="00B57374" w:rsidRPr="00891BF2" w:rsidRDefault="00B57374" w:rsidP="00871EE8">
      <w:pPr>
        <w:numPr>
          <w:ilvl w:val="0"/>
          <w:numId w:val="57"/>
        </w:numPr>
        <w:spacing w:beforeLines="60" w:before="144" w:afterLines="60" w:after="144" w:line="240" w:lineRule="auto"/>
        <w:textAlignment w:val="center"/>
        <w:rPr>
          <w:rFonts w:ascii="Century Gothic" w:eastAsia="Malgun Gothic" w:hAnsi="Century Gothic" w:cs="Wingdings"/>
        </w:rPr>
      </w:pPr>
      <w:r w:rsidRPr="00891BF2">
        <w:rPr>
          <w:rFonts w:ascii="Century Gothic" w:eastAsia="Malgun Gothic" w:hAnsi="Century Gothic" w:cs="Wingdings"/>
        </w:rPr>
        <w:t xml:space="preserve">Validation rules shall be approved by </w:t>
      </w:r>
      <w:r w:rsidR="00EE0BDC">
        <w:rPr>
          <w:rFonts w:ascii="Century Gothic" w:eastAsia="Malgun Gothic" w:hAnsi="Century Gothic" w:cs="Wingdings"/>
        </w:rPr>
        <w:t xml:space="preserve">the </w:t>
      </w:r>
      <w:r w:rsidR="00BC3832">
        <w:rPr>
          <w:rFonts w:ascii="Century Gothic" w:eastAsia="Malgun Gothic" w:hAnsi="Century Gothic" w:cs="Wingdings"/>
        </w:rPr>
        <w:t>municipality</w:t>
      </w:r>
      <w:r w:rsidRPr="00891BF2">
        <w:rPr>
          <w:rFonts w:ascii="Century Gothic" w:eastAsia="Malgun Gothic" w:hAnsi="Century Gothic" w:cs="Wingdings"/>
        </w:rPr>
        <w:t>.</w:t>
      </w:r>
    </w:p>
    <w:p w14:paraId="02E283F6" w14:textId="77777777" w:rsidR="00B57374" w:rsidRPr="00891BF2" w:rsidRDefault="00B57374" w:rsidP="00871EE8">
      <w:pPr>
        <w:numPr>
          <w:ilvl w:val="0"/>
          <w:numId w:val="57"/>
        </w:numPr>
        <w:spacing w:beforeLines="60" w:before="144" w:afterLines="60" w:after="144" w:line="240" w:lineRule="auto"/>
        <w:textAlignment w:val="center"/>
        <w:rPr>
          <w:rFonts w:ascii="Century Gothic" w:eastAsia="Malgun Gothic" w:hAnsi="Century Gothic" w:cs="Wingdings"/>
        </w:rPr>
      </w:pPr>
      <w:r w:rsidRPr="00891BF2">
        <w:rPr>
          <w:rFonts w:ascii="Century Gothic" w:eastAsia="Malgun Gothic" w:hAnsi="Century Gothic" w:cs="Wingdings"/>
        </w:rPr>
        <w:t>The MDMS shall allow configurable validation rules that may be selectively applied to an individual metering node or groups of metering nodes or to channels common to different metering nodes.</w:t>
      </w:r>
    </w:p>
    <w:p w14:paraId="46ED3914" w14:textId="77777777" w:rsidR="00B57374" w:rsidRPr="00891BF2" w:rsidRDefault="00B57374" w:rsidP="00871EE8">
      <w:pPr>
        <w:numPr>
          <w:ilvl w:val="0"/>
          <w:numId w:val="57"/>
        </w:numPr>
        <w:spacing w:beforeLines="60" w:before="144" w:afterLines="60" w:after="144" w:line="240" w:lineRule="auto"/>
        <w:textAlignment w:val="center"/>
        <w:rPr>
          <w:rFonts w:ascii="Century Gothic" w:eastAsia="Malgun Gothic" w:hAnsi="Century Gothic" w:cs="Wingdings"/>
        </w:rPr>
      </w:pPr>
      <w:r w:rsidRPr="00891BF2">
        <w:rPr>
          <w:rFonts w:ascii="Century Gothic" w:eastAsia="Malgun Gothic" w:hAnsi="Century Gothic" w:cs="Wingdings"/>
        </w:rPr>
        <w:t>Validation failures shall be logged for audit purposes.</w:t>
      </w:r>
    </w:p>
    <w:p w14:paraId="15B37D67" w14:textId="77777777" w:rsidR="00B57374" w:rsidRPr="00891BF2" w:rsidRDefault="00B57374" w:rsidP="00871EE8">
      <w:pPr>
        <w:numPr>
          <w:ilvl w:val="0"/>
          <w:numId w:val="57"/>
        </w:numPr>
        <w:spacing w:beforeLines="60" w:before="144" w:afterLines="60" w:after="144" w:line="240" w:lineRule="auto"/>
        <w:textAlignment w:val="center"/>
        <w:rPr>
          <w:rFonts w:ascii="Century Gothic" w:eastAsia="Malgun Gothic" w:hAnsi="Century Gothic" w:cs="Wingdings"/>
        </w:rPr>
      </w:pPr>
      <w:r w:rsidRPr="00891BF2">
        <w:rPr>
          <w:rFonts w:ascii="Century Gothic" w:eastAsia="Malgun Gothic" w:hAnsi="Century Gothic" w:cs="Wingdings"/>
        </w:rPr>
        <w:t>Raw data shall not be changed by the validation process for audit purposes.</w:t>
      </w:r>
    </w:p>
    <w:p w14:paraId="21DE8753" w14:textId="77777777" w:rsidR="00B57374" w:rsidRPr="00891BF2" w:rsidRDefault="00B57374" w:rsidP="00871EE8">
      <w:pPr>
        <w:numPr>
          <w:ilvl w:val="0"/>
          <w:numId w:val="57"/>
        </w:numPr>
        <w:spacing w:beforeLines="60" w:before="144" w:afterLines="60" w:after="144" w:line="240" w:lineRule="auto"/>
        <w:textAlignment w:val="center"/>
        <w:rPr>
          <w:rFonts w:ascii="Century Gothic" w:eastAsia="Malgun Gothic" w:hAnsi="Century Gothic" w:cs="Wingdings"/>
        </w:rPr>
      </w:pPr>
      <w:r w:rsidRPr="00891BF2">
        <w:rPr>
          <w:rFonts w:ascii="Century Gothic" w:eastAsia="Malgun Gothic" w:hAnsi="Century Gothic" w:cs="Wingdings"/>
        </w:rPr>
        <w:t>The MDMS shall have a meter data estimation routine that may optionally be triggered on occurrence of validation failures.</w:t>
      </w:r>
    </w:p>
    <w:p w14:paraId="70FA49C0" w14:textId="77777777" w:rsidR="00B57374" w:rsidRPr="00891BF2" w:rsidRDefault="00B57374" w:rsidP="00871EE8">
      <w:pPr>
        <w:numPr>
          <w:ilvl w:val="0"/>
          <w:numId w:val="57"/>
        </w:numPr>
        <w:spacing w:beforeLines="60" w:before="144" w:afterLines="60" w:after="144" w:line="240" w:lineRule="auto"/>
        <w:textAlignment w:val="center"/>
        <w:rPr>
          <w:rFonts w:ascii="Century Gothic" w:eastAsia="Malgun Gothic" w:hAnsi="Century Gothic" w:cs="Wingdings"/>
        </w:rPr>
      </w:pPr>
      <w:r w:rsidRPr="00891BF2">
        <w:rPr>
          <w:rFonts w:ascii="Century Gothic" w:eastAsia="Malgun Gothic" w:hAnsi="Century Gothic" w:cs="Wingdings"/>
        </w:rPr>
        <w:t>The system shall also have facility to define, add and revise estimation methods.</w:t>
      </w:r>
    </w:p>
    <w:p w14:paraId="4CEC3958" w14:textId="77777777" w:rsidR="00B57374" w:rsidRPr="00891BF2" w:rsidRDefault="00B57374" w:rsidP="00871EE8">
      <w:pPr>
        <w:numPr>
          <w:ilvl w:val="0"/>
          <w:numId w:val="57"/>
        </w:numPr>
        <w:spacing w:beforeLines="60" w:before="144" w:afterLines="60" w:after="144" w:line="240" w:lineRule="auto"/>
        <w:textAlignment w:val="center"/>
        <w:rPr>
          <w:rFonts w:ascii="Century Gothic" w:eastAsia="Malgun Gothic" w:hAnsi="Century Gothic" w:cs="Wingdings"/>
        </w:rPr>
      </w:pPr>
      <w:r w:rsidRPr="00891BF2">
        <w:rPr>
          <w:rFonts w:ascii="Century Gothic" w:eastAsia="Malgun Gothic" w:hAnsi="Century Gothic" w:cs="Wingdings"/>
        </w:rPr>
        <w:t>It shall be possible to selectively enable or disable data estimation for any given metering point or group of metering points.</w:t>
      </w:r>
    </w:p>
    <w:p w14:paraId="1D60C2B5" w14:textId="77777777" w:rsidR="00B57374" w:rsidRPr="00891BF2" w:rsidRDefault="00B57374" w:rsidP="00871EE8">
      <w:pPr>
        <w:numPr>
          <w:ilvl w:val="0"/>
          <w:numId w:val="57"/>
        </w:numPr>
        <w:spacing w:beforeLines="60" w:before="144" w:afterLines="60" w:after="144" w:line="240" w:lineRule="auto"/>
        <w:textAlignment w:val="center"/>
        <w:rPr>
          <w:rFonts w:ascii="Century Gothic" w:eastAsia="Malgun Gothic" w:hAnsi="Century Gothic" w:cs="Wingdings"/>
        </w:rPr>
      </w:pPr>
      <w:r w:rsidRPr="00891BF2">
        <w:rPr>
          <w:rFonts w:ascii="Century Gothic" w:eastAsia="Malgun Gothic" w:hAnsi="Century Gothic" w:cs="Wingdings"/>
        </w:rPr>
        <w:t>The MDMS shall support manual editing of metering data with audit trail.</w:t>
      </w:r>
    </w:p>
    <w:p w14:paraId="241A5626" w14:textId="77777777" w:rsidR="00B57374" w:rsidRPr="00891BF2" w:rsidRDefault="00B57374" w:rsidP="00871EE8">
      <w:pPr>
        <w:numPr>
          <w:ilvl w:val="0"/>
          <w:numId w:val="57"/>
        </w:numPr>
        <w:spacing w:beforeLines="60" w:before="144" w:afterLines="60" w:after="144" w:line="240" w:lineRule="auto"/>
        <w:textAlignment w:val="center"/>
        <w:rPr>
          <w:rFonts w:ascii="Century Gothic" w:eastAsia="Malgun Gothic" w:hAnsi="Century Gothic" w:cs="Wingdings"/>
        </w:rPr>
      </w:pPr>
      <w:r w:rsidRPr="00891BF2">
        <w:rPr>
          <w:rFonts w:ascii="Century Gothic" w:eastAsia="Malgun Gothic" w:hAnsi="Century Gothic" w:cs="Wingdings"/>
        </w:rPr>
        <w:t>The MDMS shall support multiple data states for metered data through its transition from acquisition to analysis e.g., invalid, estimated, edited, verified, validated etc.</w:t>
      </w:r>
    </w:p>
    <w:p w14:paraId="223FF830" w14:textId="524E4476" w:rsidR="00B57374" w:rsidRPr="008502B0" w:rsidRDefault="00B57374" w:rsidP="008502B0">
      <w:pPr>
        <w:numPr>
          <w:ilvl w:val="0"/>
          <w:numId w:val="57"/>
        </w:numPr>
        <w:spacing w:beforeLines="60" w:before="144" w:afterLines="60" w:after="144" w:line="240" w:lineRule="auto"/>
        <w:textAlignment w:val="center"/>
        <w:rPr>
          <w:rFonts w:ascii="Century Gothic" w:eastAsia="Malgun Gothic" w:hAnsi="Century Gothic" w:cs="Wingdings"/>
        </w:rPr>
      </w:pPr>
      <w:r w:rsidRPr="00891BF2">
        <w:rPr>
          <w:rFonts w:ascii="Century Gothic" w:eastAsia="Malgun Gothic" w:hAnsi="Century Gothic" w:cs="Wingdings"/>
        </w:rPr>
        <w:lastRenderedPageBreak/>
        <w:t>All data state transitions shall be logged for audit trail.</w:t>
      </w:r>
    </w:p>
    <w:p w14:paraId="0B211DE3" w14:textId="77777777" w:rsidR="00B57374" w:rsidRPr="00891BF2" w:rsidRDefault="00B57374" w:rsidP="00871EE8">
      <w:pPr>
        <w:numPr>
          <w:ilvl w:val="0"/>
          <w:numId w:val="58"/>
        </w:numPr>
        <w:spacing w:beforeLines="60" w:before="144" w:afterLines="60" w:after="144" w:line="240" w:lineRule="auto"/>
        <w:textAlignment w:val="center"/>
        <w:rPr>
          <w:rFonts w:ascii="Century Gothic" w:eastAsia="Malgun Gothic" w:hAnsi="Century Gothic" w:cs="Wingdings"/>
        </w:rPr>
      </w:pPr>
      <w:r w:rsidRPr="00891BF2">
        <w:rPr>
          <w:rFonts w:ascii="Century Gothic" w:eastAsia="Malgun Gothic" w:hAnsi="Century Gothic" w:cs="Wingdings"/>
        </w:rPr>
        <w:t>Validation:</w:t>
      </w:r>
    </w:p>
    <w:p w14:paraId="108435C8" w14:textId="77777777" w:rsidR="00B57374" w:rsidRPr="00891BF2" w:rsidRDefault="00B57374" w:rsidP="00871EE8">
      <w:pPr>
        <w:numPr>
          <w:ilvl w:val="2"/>
          <w:numId w:val="55"/>
        </w:numPr>
        <w:spacing w:beforeLines="60" w:before="144" w:afterLines="60" w:after="144" w:line="240" w:lineRule="auto"/>
        <w:ind w:left="1276"/>
        <w:textAlignment w:val="center"/>
        <w:rPr>
          <w:rFonts w:ascii="Century Gothic" w:eastAsia="Malgun Gothic" w:hAnsi="Century Gothic" w:cs="Wingdings"/>
        </w:rPr>
      </w:pPr>
      <w:r w:rsidRPr="00891BF2">
        <w:rPr>
          <w:rFonts w:ascii="Century Gothic" w:eastAsia="Malgun Gothic" w:hAnsi="Century Gothic" w:cs="Wingdings"/>
        </w:rPr>
        <w:t>Zero consumption: This rule checks if a meter has recorded zero consumption for a given interval. It helps identify cases where there might be a meter malfunction or a data transmission issue.</w:t>
      </w:r>
    </w:p>
    <w:p w14:paraId="3B0FE27E" w14:textId="77777777" w:rsidR="00B57374" w:rsidRPr="00891BF2" w:rsidRDefault="00B57374" w:rsidP="00871EE8">
      <w:pPr>
        <w:numPr>
          <w:ilvl w:val="2"/>
          <w:numId w:val="55"/>
        </w:numPr>
        <w:spacing w:beforeLines="60" w:before="144" w:afterLines="60" w:after="144" w:line="240" w:lineRule="auto"/>
        <w:ind w:left="1276"/>
        <w:textAlignment w:val="center"/>
        <w:rPr>
          <w:rFonts w:ascii="Century Gothic" w:eastAsia="Malgun Gothic" w:hAnsi="Century Gothic" w:cs="Wingdings"/>
        </w:rPr>
      </w:pPr>
      <w:r w:rsidRPr="00891BF2">
        <w:rPr>
          <w:rFonts w:ascii="Century Gothic" w:eastAsia="Malgun Gothic" w:hAnsi="Century Gothic" w:cs="Wingdings"/>
        </w:rPr>
        <w:t>Negative Value Check: This rule verifies if there are any negative values in the meter data, as negative values are typically considered invalid and may indicate a data entry error or meter malfunction.</w:t>
      </w:r>
    </w:p>
    <w:p w14:paraId="6B70D563" w14:textId="77777777" w:rsidR="00B57374" w:rsidRPr="00891BF2" w:rsidRDefault="00B57374" w:rsidP="00871EE8">
      <w:pPr>
        <w:numPr>
          <w:ilvl w:val="2"/>
          <w:numId w:val="55"/>
        </w:numPr>
        <w:spacing w:beforeLines="60" w:before="144" w:afterLines="60" w:after="144" w:line="240" w:lineRule="auto"/>
        <w:ind w:left="1276"/>
        <w:textAlignment w:val="center"/>
        <w:rPr>
          <w:rFonts w:ascii="Century Gothic" w:eastAsia="Malgun Gothic" w:hAnsi="Century Gothic" w:cs="Wingdings"/>
        </w:rPr>
      </w:pPr>
      <w:r w:rsidRPr="00891BF2">
        <w:rPr>
          <w:rFonts w:ascii="Century Gothic" w:eastAsia="Malgun Gothic" w:hAnsi="Century Gothic" w:cs="Wingdings"/>
        </w:rPr>
        <w:t>Missing Interval Count: This rule checks for missing intervals in the meter data, ensuring that data is collected at regular intervals and helping to identify any gaps or inconsistencies in the data stream.</w:t>
      </w:r>
    </w:p>
    <w:p w14:paraId="62B71A18" w14:textId="77777777" w:rsidR="00B57374" w:rsidRPr="00891BF2" w:rsidRDefault="00B57374" w:rsidP="00871EE8">
      <w:pPr>
        <w:numPr>
          <w:ilvl w:val="2"/>
          <w:numId w:val="55"/>
        </w:numPr>
        <w:spacing w:beforeLines="60" w:before="144" w:afterLines="60" w:after="144" w:line="240" w:lineRule="auto"/>
        <w:ind w:left="1276"/>
        <w:textAlignment w:val="center"/>
        <w:rPr>
          <w:rFonts w:ascii="Century Gothic" w:eastAsia="Malgun Gothic" w:hAnsi="Century Gothic" w:cs="Wingdings"/>
        </w:rPr>
      </w:pPr>
      <w:r w:rsidRPr="00891BF2">
        <w:rPr>
          <w:rFonts w:ascii="Century Gothic" w:eastAsia="Malgun Gothic" w:hAnsi="Century Gothic" w:cs="Wingdings"/>
        </w:rPr>
        <w:t>Consecutive Zero Consumption: This rule detects patterns of consecutive zero consumption readings, helping to identify instances where a meter is not recording any consumption over an extended period, which may indicate a malfunction or a meter reading issue.</w:t>
      </w:r>
    </w:p>
    <w:p w14:paraId="2570F08C" w14:textId="77777777" w:rsidR="00B57374" w:rsidRPr="00891BF2" w:rsidRDefault="00B57374" w:rsidP="00871EE8">
      <w:pPr>
        <w:numPr>
          <w:ilvl w:val="2"/>
          <w:numId w:val="55"/>
        </w:numPr>
        <w:spacing w:beforeLines="60" w:before="144" w:afterLines="60" w:after="144" w:line="240" w:lineRule="auto"/>
        <w:ind w:left="1276"/>
        <w:textAlignment w:val="center"/>
        <w:rPr>
          <w:rFonts w:ascii="Century Gothic" w:eastAsia="Malgun Gothic" w:hAnsi="Century Gothic" w:cs="Wingdings"/>
        </w:rPr>
      </w:pPr>
      <w:r w:rsidRPr="00891BF2">
        <w:rPr>
          <w:rFonts w:ascii="Century Gothic" w:eastAsia="Malgun Gothic" w:hAnsi="Century Gothic" w:cs="Wingdings"/>
        </w:rPr>
        <w:t>Non-negative incremental reads: This rule verifies that the incremental readings between consecutive intervals are non-negative, helping to identify cases where there is an unexpected decrease in consumption or irregularities in meter data.</w:t>
      </w:r>
    </w:p>
    <w:p w14:paraId="78C8FEED" w14:textId="77777777" w:rsidR="00B57374" w:rsidRPr="00891BF2" w:rsidRDefault="00B57374" w:rsidP="00871EE8">
      <w:pPr>
        <w:numPr>
          <w:ilvl w:val="2"/>
          <w:numId w:val="55"/>
        </w:numPr>
        <w:spacing w:beforeLines="60" w:before="144" w:afterLines="60" w:after="144" w:line="240" w:lineRule="auto"/>
        <w:ind w:left="1276"/>
        <w:textAlignment w:val="center"/>
        <w:rPr>
          <w:rFonts w:ascii="Century Gothic" w:eastAsia="Malgun Gothic" w:hAnsi="Century Gothic" w:cs="Wingdings"/>
        </w:rPr>
      </w:pPr>
      <w:r w:rsidRPr="00891BF2">
        <w:rPr>
          <w:rFonts w:ascii="Century Gothic" w:eastAsia="Malgun Gothic" w:hAnsi="Century Gothic" w:cs="Wingdings"/>
        </w:rPr>
        <w:t>Daily Consumption Check: This rule validates the daily consumption values against predefined thresholds or expected ranges, helping to identify abnormal usage patterns or deviations from expected consumption levels.</w:t>
      </w:r>
    </w:p>
    <w:p w14:paraId="51E8C2A8" w14:textId="286CCF1D" w:rsidR="00B57374" w:rsidRPr="00891BF2" w:rsidRDefault="00B57374" w:rsidP="00871EE8">
      <w:pPr>
        <w:numPr>
          <w:ilvl w:val="2"/>
          <w:numId w:val="55"/>
        </w:numPr>
        <w:spacing w:beforeLines="60" w:before="144" w:afterLines="60" w:after="144" w:line="240" w:lineRule="auto"/>
        <w:ind w:left="1276"/>
        <w:textAlignment w:val="center"/>
        <w:rPr>
          <w:rFonts w:ascii="Century Gothic" w:eastAsia="Malgun Gothic" w:hAnsi="Century Gothic" w:cs="Wingdings"/>
        </w:rPr>
      </w:pPr>
      <w:r w:rsidRPr="00891BF2">
        <w:rPr>
          <w:rFonts w:ascii="Century Gothic" w:eastAsia="Malgun Gothic" w:hAnsi="Century Gothic" w:cs="Wingdings"/>
        </w:rPr>
        <w:t>Spike Value Check: This rule detects sudden spikes in consumption values, helping to identify anomalies caused by meter malfunctions, data transmission errors, or abnormal usage patterns</w:t>
      </w:r>
      <w:r w:rsidR="0086538B">
        <w:rPr>
          <w:rFonts w:ascii="Century Gothic" w:eastAsia="Malgun Gothic" w:hAnsi="Century Gothic" w:cs="Wingdings"/>
        </w:rPr>
        <w:t xml:space="preserve">, </w:t>
      </w:r>
      <w:proofErr w:type="spellStart"/>
      <w:r w:rsidR="0086538B">
        <w:rPr>
          <w:rFonts w:ascii="Century Gothic" w:eastAsia="Malgun Gothic" w:hAnsi="Century Gothic" w:cs="Wingdings"/>
        </w:rPr>
        <w:t>i.e</w:t>
      </w:r>
      <w:proofErr w:type="spellEnd"/>
      <w:r w:rsidR="0086538B">
        <w:rPr>
          <w:rFonts w:ascii="Century Gothic" w:eastAsia="Malgun Gothic" w:hAnsi="Century Gothic" w:cs="Wingdings"/>
        </w:rPr>
        <w:t xml:space="preserve"> load shedding and loss of power</w:t>
      </w:r>
      <w:r w:rsidRPr="00891BF2">
        <w:rPr>
          <w:rFonts w:ascii="Century Gothic" w:eastAsia="Malgun Gothic" w:hAnsi="Century Gothic" w:cs="Wingdings"/>
        </w:rPr>
        <w:t>.</w:t>
      </w:r>
    </w:p>
    <w:p w14:paraId="69808AE9" w14:textId="77777777" w:rsidR="00B57374" w:rsidRPr="00891BF2" w:rsidRDefault="00B57374" w:rsidP="00871EE8">
      <w:pPr>
        <w:numPr>
          <w:ilvl w:val="2"/>
          <w:numId w:val="55"/>
        </w:numPr>
        <w:spacing w:beforeLines="60" w:before="144" w:afterLines="60" w:after="144" w:line="240" w:lineRule="auto"/>
        <w:ind w:left="1276"/>
        <w:textAlignment w:val="center"/>
        <w:rPr>
          <w:rFonts w:ascii="Century Gothic" w:eastAsia="Malgun Gothic" w:hAnsi="Century Gothic" w:cs="Wingdings"/>
        </w:rPr>
      </w:pPr>
      <w:r w:rsidRPr="00891BF2">
        <w:rPr>
          <w:rFonts w:ascii="Century Gothic" w:eastAsia="Malgun Gothic" w:hAnsi="Century Gothic" w:cs="Wingdings"/>
        </w:rPr>
        <w:t>Sum Check: This rule verifies the sum of consumption values for a specific period, ensuring that the total consumption aligns with the individual interval readings, helping to identify any data inconsistencies or calculation errors.</w:t>
      </w:r>
    </w:p>
    <w:p w14:paraId="035DEB5C" w14:textId="77777777" w:rsidR="00B57374" w:rsidRPr="00891BF2" w:rsidRDefault="00B57374" w:rsidP="00871EE8">
      <w:pPr>
        <w:numPr>
          <w:ilvl w:val="2"/>
          <w:numId w:val="55"/>
        </w:numPr>
        <w:spacing w:beforeLines="60" w:before="144" w:afterLines="60" w:after="144" w:line="240" w:lineRule="auto"/>
        <w:ind w:left="1276"/>
        <w:textAlignment w:val="center"/>
        <w:rPr>
          <w:rFonts w:ascii="Century Gothic" w:eastAsia="Malgun Gothic" w:hAnsi="Century Gothic" w:cs="Wingdings"/>
        </w:rPr>
      </w:pPr>
      <w:r w:rsidRPr="00891BF2">
        <w:rPr>
          <w:rFonts w:ascii="Century Gothic" w:eastAsia="Malgun Gothic" w:hAnsi="Century Gothic" w:cs="Wingdings"/>
        </w:rPr>
        <w:t>Consumption Check: This rule compares the consumption values with predefined thresholds or expected ranges, helping to identify excessive or unusually low consumption levels.</w:t>
      </w:r>
    </w:p>
    <w:p w14:paraId="451ACC50" w14:textId="77777777" w:rsidR="00B57374" w:rsidRPr="00891BF2" w:rsidRDefault="00B57374" w:rsidP="00871EE8">
      <w:pPr>
        <w:numPr>
          <w:ilvl w:val="2"/>
          <w:numId w:val="55"/>
        </w:numPr>
        <w:spacing w:beforeLines="60" w:before="144" w:afterLines="60" w:after="144" w:line="240" w:lineRule="auto"/>
        <w:ind w:left="1276"/>
        <w:textAlignment w:val="center"/>
        <w:rPr>
          <w:rFonts w:ascii="Century Gothic" w:eastAsia="Malgun Gothic" w:hAnsi="Century Gothic" w:cs="Wingdings"/>
        </w:rPr>
      </w:pPr>
      <w:r w:rsidRPr="00891BF2">
        <w:rPr>
          <w:rFonts w:ascii="Century Gothic" w:eastAsia="Malgun Gothic" w:hAnsi="Century Gothic" w:cs="Wingdings"/>
        </w:rPr>
        <w:t>Billing Cycle Verification: This rule checks if the meter data aligns with the defined billing cycle, ensuring that the readings correspond to the correct billing period and helping to identify any discrepancies in the data.</w:t>
      </w:r>
    </w:p>
    <w:p w14:paraId="301CF321" w14:textId="77777777" w:rsidR="00B57374" w:rsidRPr="00891BF2" w:rsidRDefault="00B57374" w:rsidP="00871EE8">
      <w:pPr>
        <w:numPr>
          <w:ilvl w:val="2"/>
          <w:numId w:val="55"/>
        </w:numPr>
        <w:spacing w:beforeLines="60" w:before="144" w:afterLines="60" w:after="144" w:line="240" w:lineRule="auto"/>
        <w:ind w:left="1276"/>
        <w:textAlignment w:val="center"/>
        <w:rPr>
          <w:rFonts w:ascii="Century Gothic" w:eastAsia="Malgun Gothic" w:hAnsi="Century Gothic" w:cs="Wingdings"/>
        </w:rPr>
      </w:pPr>
      <w:r w:rsidRPr="00891BF2">
        <w:rPr>
          <w:rFonts w:ascii="Century Gothic" w:eastAsia="Malgun Gothic" w:hAnsi="Century Gothic" w:cs="Wingdings"/>
        </w:rPr>
        <w:t>Cycle Verification: This rule verifies if the meter data follows the expected cyclical patterns, helping to identify any irregularities or deviations from typical consumption patterns.</w:t>
      </w:r>
    </w:p>
    <w:p w14:paraId="04100CEC" w14:textId="28DAB83D" w:rsidR="00B57374" w:rsidRPr="00BC3832" w:rsidRDefault="00B57374" w:rsidP="00871EE8">
      <w:pPr>
        <w:numPr>
          <w:ilvl w:val="2"/>
          <w:numId w:val="55"/>
        </w:numPr>
        <w:spacing w:beforeLines="60" w:before="144" w:afterLines="60" w:after="144" w:line="240" w:lineRule="auto"/>
        <w:ind w:left="1276"/>
        <w:textAlignment w:val="center"/>
        <w:rPr>
          <w:rFonts w:ascii="Century Gothic" w:eastAsia="Malgun Gothic" w:hAnsi="Century Gothic" w:cs="Wingdings"/>
        </w:rPr>
      </w:pPr>
      <w:r w:rsidRPr="00891BF2">
        <w:rPr>
          <w:rFonts w:ascii="Century Gothic" w:eastAsia="Malgun Gothic" w:hAnsi="Century Gothic" w:cs="Wingdings"/>
        </w:rPr>
        <w:t>Regulatory/Utility Specifics: This category includes rules specific to regulatory requirements or utility-specific guidelines, ensuring compliance with industry standards and addressing any additional validation criteria mandated by regulatory bodies or utility policies.</w:t>
      </w:r>
    </w:p>
    <w:p w14:paraId="76CC62B8" w14:textId="77777777" w:rsidR="00B57374" w:rsidRPr="00891BF2" w:rsidRDefault="00B57374" w:rsidP="00871EE8">
      <w:pPr>
        <w:numPr>
          <w:ilvl w:val="0"/>
          <w:numId w:val="58"/>
        </w:numPr>
        <w:spacing w:beforeLines="60" w:before="144" w:afterLines="60" w:after="144" w:line="240" w:lineRule="auto"/>
        <w:textAlignment w:val="center"/>
        <w:rPr>
          <w:rFonts w:ascii="Century Gothic" w:eastAsia="Malgun Gothic" w:hAnsi="Century Gothic" w:cs="Wingdings"/>
        </w:rPr>
      </w:pPr>
      <w:r w:rsidRPr="00BC3832">
        <w:rPr>
          <w:rFonts w:ascii="Century Gothic" w:eastAsia="Malgun Gothic" w:hAnsi="Century Gothic" w:cs="Wingdings"/>
        </w:rPr>
        <w:t>Estimation</w:t>
      </w:r>
      <w:r w:rsidRPr="00891BF2">
        <w:rPr>
          <w:rFonts w:ascii="Century Gothic" w:eastAsia="Malgun Gothic" w:hAnsi="Century Gothic" w:cs="Wingdings"/>
        </w:rPr>
        <w:t>:</w:t>
      </w:r>
    </w:p>
    <w:p w14:paraId="19F41466" w14:textId="77777777" w:rsidR="00B57374" w:rsidRPr="00891BF2" w:rsidRDefault="00B57374" w:rsidP="00871EE8">
      <w:pPr>
        <w:numPr>
          <w:ilvl w:val="2"/>
          <w:numId w:val="56"/>
        </w:numPr>
        <w:spacing w:beforeLines="60" w:before="144" w:afterLines="60" w:after="144" w:line="240" w:lineRule="auto"/>
        <w:ind w:left="1276"/>
        <w:textAlignment w:val="center"/>
        <w:rPr>
          <w:rFonts w:ascii="Century Gothic" w:eastAsia="Malgun Gothic" w:hAnsi="Century Gothic" w:cs="Wingdings"/>
        </w:rPr>
      </w:pPr>
      <w:r w:rsidRPr="00891BF2">
        <w:rPr>
          <w:rFonts w:ascii="Century Gothic" w:eastAsia="Malgun Gothic" w:hAnsi="Century Gothic" w:cs="Wingdings"/>
        </w:rPr>
        <w:t>Linear Interpolation: This method estimates missing or invalid data points by interpolating values linearly between known data points. It assumes a linear relationship between the known data points to estimate the missing values.</w:t>
      </w:r>
    </w:p>
    <w:p w14:paraId="43BF41BB" w14:textId="77777777" w:rsidR="00B57374" w:rsidRPr="00891BF2" w:rsidRDefault="00B57374" w:rsidP="00871EE8">
      <w:pPr>
        <w:numPr>
          <w:ilvl w:val="2"/>
          <w:numId w:val="56"/>
        </w:numPr>
        <w:spacing w:beforeLines="60" w:before="144" w:afterLines="60" w:after="144" w:line="240" w:lineRule="auto"/>
        <w:ind w:left="1276"/>
        <w:textAlignment w:val="center"/>
        <w:rPr>
          <w:rFonts w:ascii="Century Gothic" w:eastAsia="Malgun Gothic" w:hAnsi="Century Gothic" w:cs="Wingdings"/>
        </w:rPr>
      </w:pPr>
      <w:r w:rsidRPr="00891BF2">
        <w:rPr>
          <w:rFonts w:ascii="Century Gothic" w:eastAsia="Malgun Gothic" w:hAnsi="Century Gothic" w:cs="Wingdings"/>
        </w:rPr>
        <w:t>Spline Estimation: This method uses mathematical splines to estimate missing or invalid data points. Splines create a smooth curve that passes through the known data points, allowing for more accurate estimation.</w:t>
      </w:r>
    </w:p>
    <w:p w14:paraId="1B497103" w14:textId="77777777" w:rsidR="00B57374" w:rsidRPr="00891BF2" w:rsidRDefault="00B57374" w:rsidP="00871EE8">
      <w:pPr>
        <w:numPr>
          <w:ilvl w:val="2"/>
          <w:numId w:val="56"/>
        </w:numPr>
        <w:spacing w:beforeLines="60" w:before="144" w:afterLines="60" w:after="144" w:line="240" w:lineRule="auto"/>
        <w:ind w:left="1276"/>
        <w:textAlignment w:val="center"/>
        <w:rPr>
          <w:rFonts w:ascii="Century Gothic" w:eastAsia="Malgun Gothic" w:hAnsi="Century Gothic" w:cs="Wingdings"/>
        </w:rPr>
      </w:pPr>
      <w:r w:rsidRPr="00891BF2">
        <w:rPr>
          <w:rFonts w:ascii="Century Gothic" w:eastAsia="Malgun Gothic" w:hAnsi="Century Gothic" w:cs="Wingdings"/>
        </w:rPr>
        <w:lastRenderedPageBreak/>
        <w:t>Estimation based on Standards/Consumption: These rules estimate missing or invalid data points based on historical consumption patterns, predefined standards, or statistical models.</w:t>
      </w:r>
    </w:p>
    <w:p w14:paraId="6B813DE7" w14:textId="77777777" w:rsidR="00B57374" w:rsidRPr="00891BF2" w:rsidRDefault="00B57374" w:rsidP="00871EE8">
      <w:pPr>
        <w:numPr>
          <w:ilvl w:val="2"/>
          <w:numId w:val="56"/>
        </w:numPr>
        <w:spacing w:beforeLines="60" w:before="144" w:afterLines="60" w:after="144" w:line="240" w:lineRule="auto"/>
        <w:ind w:left="1276"/>
        <w:textAlignment w:val="center"/>
        <w:rPr>
          <w:rFonts w:ascii="Century Gothic" w:eastAsia="Malgun Gothic" w:hAnsi="Century Gothic" w:cs="Wingdings"/>
        </w:rPr>
      </w:pPr>
      <w:r w:rsidRPr="00891BF2">
        <w:rPr>
          <w:rFonts w:ascii="Century Gothic" w:eastAsia="Malgun Gothic" w:hAnsi="Century Gothic" w:cs="Wingdings"/>
        </w:rPr>
        <w:t>Estimation based on Historical Period: This method estimates missing or invalid data points by considering data from the same period in previous years. It leverages historical patterns to fill in the gaps in the data.</w:t>
      </w:r>
    </w:p>
    <w:p w14:paraId="617C2BA2" w14:textId="6C238B5C" w:rsidR="00B57374" w:rsidRPr="00BC3832" w:rsidRDefault="00B57374" w:rsidP="00871EE8">
      <w:pPr>
        <w:numPr>
          <w:ilvl w:val="2"/>
          <w:numId w:val="56"/>
        </w:numPr>
        <w:spacing w:beforeLines="60" w:before="144" w:afterLines="60" w:after="144" w:line="240" w:lineRule="auto"/>
        <w:ind w:left="1276"/>
        <w:textAlignment w:val="center"/>
        <w:rPr>
          <w:rFonts w:ascii="Century Gothic" w:eastAsia="Malgun Gothic" w:hAnsi="Century Gothic" w:cs="Wingdings"/>
        </w:rPr>
      </w:pPr>
      <w:r w:rsidRPr="00891BF2">
        <w:rPr>
          <w:rFonts w:ascii="Century Gothic" w:eastAsia="Malgun Gothic" w:hAnsi="Century Gothic" w:cs="Wingdings"/>
        </w:rPr>
        <w:t>Regulatory/Utility Specifics: This category includes estimation rules specific to regulatory requirements or utility-specific guidelines, which may define additional criteria or methods for estimating missing or invalid data points.</w:t>
      </w:r>
    </w:p>
    <w:p w14:paraId="73A2C169" w14:textId="77777777" w:rsidR="00B57374" w:rsidRPr="00B57374" w:rsidRDefault="00B57374" w:rsidP="00871EE8">
      <w:pPr>
        <w:pStyle w:val="BodyText"/>
        <w:numPr>
          <w:ilvl w:val="0"/>
          <w:numId w:val="34"/>
        </w:numPr>
        <w:spacing w:beforeLines="60" w:before="144" w:afterLines="60" w:after="144" w:line="240" w:lineRule="auto"/>
        <w:rPr>
          <w:rFonts w:ascii="Century Gothic" w:hAnsi="Century Gothic"/>
          <w:lang w:eastAsia="en-ZA"/>
        </w:rPr>
      </w:pPr>
      <w:r w:rsidRPr="00B57374">
        <w:rPr>
          <w:rFonts w:ascii="Century Gothic" w:hAnsi="Century Gothic"/>
          <w:lang w:eastAsia="en-ZA"/>
        </w:rPr>
        <w:t>Data Storage and Management: The MDMS securely stores the meter data in a centralized database or storage system. It organizes and manages the data in a structured manner for efficient retrieval and archival. The storage and management component of the MDMS ensures the data's integrity, availability, and compliance with regulatory requirements and operational needs.</w:t>
      </w:r>
    </w:p>
    <w:p w14:paraId="45E2D800" w14:textId="32D49A11" w:rsidR="00B57374" w:rsidRPr="00B57374" w:rsidRDefault="00B57374" w:rsidP="00871EE8">
      <w:pPr>
        <w:pStyle w:val="BodyText"/>
        <w:numPr>
          <w:ilvl w:val="0"/>
          <w:numId w:val="34"/>
        </w:numPr>
        <w:spacing w:beforeLines="60" w:before="144" w:afterLines="60" w:after="144" w:line="240" w:lineRule="auto"/>
        <w:rPr>
          <w:rFonts w:ascii="Century Gothic" w:hAnsi="Century Gothic"/>
          <w:lang w:eastAsia="en-ZA"/>
        </w:rPr>
      </w:pPr>
      <w:r w:rsidRPr="00B57374">
        <w:rPr>
          <w:rFonts w:ascii="Century Gothic" w:hAnsi="Century Gothic"/>
          <w:lang w:eastAsia="en-ZA"/>
        </w:rPr>
        <w:t>Events and Alarms: The MDMS plays a crucial role in monitoring and detecting specific conditions or situations related to meters in the AMI system. It tracks events and alarms that may indicate meter malfunctions, irregularities, or abnormal conditions. Some common events and alarms include</w:t>
      </w:r>
      <w:r w:rsidR="00B274C5">
        <w:rPr>
          <w:rFonts w:ascii="Century Gothic" w:hAnsi="Century Gothic"/>
          <w:lang w:eastAsia="en-ZA"/>
        </w:rPr>
        <w:t xml:space="preserve"> consumption spikes,</w:t>
      </w:r>
      <w:r w:rsidRPr="00B57374">
        <w:rPr>
          <w:rFonts w:ascii="Century Gothic" w:hAnsi="Century Gothic"/>
          <w:lang w:eastAsia="en-ZA"/>
        </w:rPr>
        <w:t xml:space="preserve"> </w:t>
      </w:r>
      <w:r w:rsidR="00BC3832">
        <w:rPr>
          <w:rFonts w:ascii="Century Gothic" w:hAnsi="Century Gothic"/>
          <w:lang w:eastAsia="en-ZA"/>
        </w:rPr>
        <w:t>tamper</w:t>
      </w:r>
      <w:r w:rsidRPr="00B57374">
        <w:rPr>
          <w:rFonts w:ascii="Century Gothic" w:hAnsi="Century Gothic"/>
          <w:lang w:eastAsia="en-ZA"/>
        </w:rPr>
        <w:t xml:space="preserve"> detection, , n days without any data, unregistered meter detection, abnormal consumption detection, and various other alarms related to metering failure, discharge and disassembly, RTC (Real-Time Clock) fault, zero consumption, and magnetic interference.</w:t>
      </w:r>
    </w:p>
    <w:p w14:paraId="2A853F69" w14:textId="75E6322D" w:rsidR="00B57374" w:rsidRPr="00B57374" w:rsidRDefault="00B57374" w:rsidP="00871EE8">
      <w:pPr>
        <w:pStyle w:val="BodyText"/>
        <w:numPr>
          <w:ilvl w:val="0"/>
          <w:numId w:val="34"/>
        </w:numPr>
        <w:spacing w:beforeLines="60" w:before="144" w:afterLines="60" w:after="144" w:line="240" w:lineRule="auto"/>
        <w:rPr>
          <w:rFonts w:ascii="Century Gothic" w:hAnsi="Century Gothic"/>
          <w:lang w:eastAsia="en-ZA"/>
        </w:rPr>
      </w:pPr>
      <w:r w:rsidRPr="00B57374">
        <w:rPr>
          <w:rFonts w:ascii="Century Gothic" w:hAnsi="Century Gothic"/>
          <w:lang w:eastAsia="en-ZA"/>
        </w:rPr>
        <w:t xml:space="preserve">Data Analytics and Reporting: The MDMS offers advanced data analytics capabilities to derive insights from the meter data. It enables the analysis of consumption patterns, identification of abnormal usage, and detection of potential </w:t>
      </w:r>
      <w:r w:rsidR="00BB4B45">
        <w:rPr>
          <w:rFonts w:ascii="Century Gothic" w:hAnsi="Century Gothic"/>
          <w:lang w:eastAsia="en-ZA"/>
        </w:rPr>
        <w:t>faults</w:t>
      </w:r>
      <w:r w:rsidR="00BB4B45" w:rsidRPr="00B57374">
        <w:rPr>
          <w:rFonts w:ascii="Century Gothic" w:hAnsi="Century Gothic"/>
          <w:lang w:eastAsia="en-ZA"/>
        </w:rPr>
        <w:t xml:space="preserve"> </w:t>
      </w:r>
      <w:r w:rsidRPr="00B57374">
        <w:rPr>
          <w:rFonts w:ascii="Century Gothic" w:hAnsi="Century Gothic"/>
          <w:lang w:eastAsia="en-ZA"/>
        </w:rPr>
        <w:t>or irregularities. The system generates various reports, charts, and dashboards to provide stakeholders with actionable information for informed decision-making. These reports may include consumption analysis reports, anomaly detection reports,  billing reports, and customizable dashboards to visualize and interpret the meter data.</w:t>
      </w:r>
    </w:p>
    <w:p w14:paraId="54DE5697" w14:textId="77777777" w:rsidR="00B57374" w:rsidRPr="00B57374" w:rsidRDefault="00B57374" w:rsidP="00871EE8">
      <w:pPr>
        <w:pStyle w:val="BodyText"/>
        <w:numPr>
          <w:ilvl w:val="0"/>
          <w:numId w:val="34"/>
        </w:numPr>
        <w:spacing w:beforeLines="60" w:before="144" w:afterLines="60" w:after="144" w:line="240" w:lineRule="auto"/>
        <w:rPr>
          <w:rFonts w:ascii="Century Gothic" w:hAnsi="Century Gothic"/>
          <w:lang w:eastAsia="en-ZA"/>
        </w:rPr>
      </w:pPr>
      <w:r w:rsidRPr="00B57374">
        <w:rPr>
          <w:rFonts w:ascii="Century Gothic" w:hAnsi="Century Gothic"/>
          <w:lang w:eastAsia="en-ZA"/>
        </w:rPr>
        <w:t>Integration with Other Systems: The MDMS interfaces with other components of the AMI system, such as the Head End System (HES) and billing systems. It facilitates seamless data exchange and synchronization between these systems, ensuring accurate billing, customer management, and operational coordination. The MDMS integrates with the HES to receive meter data and share relevant information for efficient data processing. It also interfaces with the billing systems to provide accurate consumption data for billing calculations and customer invoicing.</w:t>
      </w:r>
    </w:p>
    <w:p w14:paraId="70ACC894" w14:textId="77777777" w:rsidR="00B57374" w:rsidRPr="00B57374" w:rsidRDefault="00B57374" w:rsidP="00871EE8">
      <w:pPr>
        <w:pStyle w:val="BodyText"/>
        <w:numPr>
          <w:ilvl w:val="0"/>
          <w:numId w:val="34"/>
        </w:numPr>
        <w:spacing w:beforeLines="60" w:before="144" w:afterLines="60" w:after="144" w:line="240" w:lineRule="auto"/>
        <w:rPr>
          <w:rFonts w:ascii="Century Gothic" w:hAnsi="Century Gothic"/>
          <w:lang w:eastAsia="en-ZA"/>
        </w:rPr>
      </w:pPr>
      <w:r w:rsidRPr="00B57374">
        <w:rPr>
          <w:rFonts w:ascii="Century Gothic" w:hAnsi="Century Gothic"/>
          <w:lang w:eastAsia="en-ZA"/>
        </w:rPr>
        <w:t>Network topology management:</w:t>
      </w:r>
    </w:p>
    <w:p w14:paraId="2F97BAEC" w14:textId="77777777" w:rsidR="00B57374" w:rsidRPr="00891BF2" w:rsidRDefault="00B57374" w:rsidP="00871EE8">
      <w:pPr>
        <w:numPr>
          <w:ilvl w:val="0"/>
          <w:numId w:val="58"/>
        </w:numPr>
        <w:spacing w:beforeLines="60" w:before="144" w:afterLines="60" w:after="144" w:line="240" w:lineRule="auto"/>
        <w:textAlignment w:val="center"/>
        <w:rPr>
          <w:rFonts w:ascii="Century Gothic" w:eastAsia="Malgun Gothic" w:hAnsi="Century Gothic" w:cs="Wingdings"/>
        </w:rPr>
      </w:pPr>
      <w:r w:rsidRPr="00891BF2">
        <w:rPr>
          <w:rFonts w:ascii="Century Gothic" w:eastAsia="Malgun Gothic" w:hAnsi="Century Gothic" w:cs="Wingdings"/>
        </w:rPr>
        <w:t>The MDMS shall be able to capture and maintain associations between various metering nodes (both system and consumer meters) in hierarchical relationships</w:t>
      </w:r>
    </w:p>
    <w:p w14:paraId="6AEAAB9A" w14:textId="2F82D97E" w:rsidR="00B57374" w:rsidRPr="00891BF2" w:rsidRDefault="00B57374" w:rsidP="00871EE8">
      <w:pPr>
        <w:numPr>
          <w:ilvl w:val="0"/>
          <w:numId w:val="58"/>
        </w:numPr>
        <w:spacing w:beforeLines="60" w:before="144" w:afterLines="60" w:after="144" w:line="240" w:lineRule="auto"/>
        <w:textAlignment w:val="center"/>
        <w:rPr>
          <w:rFonts w:ascii="Century Gothic" w:eastAsia="Malgun Gothic" w:hAnsi="Century Gothic" w:cs="Wingdings"/>
        </w:rPr>
      </w:pPr>
      <w:r w:rsidRPr="00891BF2">
        <w:rPr>
          <w:rFonts w:ascii="Century Gothic" w:eastAsia="Malgun Gothic" w:hAnsi="Century Gothic" w:cs="Wingdings"/>
        </w:rPr>
        <w:t>It shall be possible to define any arbitrary hierarchical relationship as required, but as a minimum the following relationships shall be maintained: Geographic, Administrative or regional, Network topology and Tariff</w:t>
      </w:r>
    </w:p>
    <w:p w14:paraId="47C611CE" w14:textId="77777777" w:rsidR="00B57374" w:rsidRPr="00891BF2" w:rsidRDefault="00B57374" w:rsidP="00871EE8">
      <w:pPr>
        <w:numPr>
          <w:ilvl w:val="0"/>
          <w:numId w:val="58"/>
        </w:numPr>
        <w:spacing w:beforeLines="60" w:before="144" w:afterLines="60" w:after="144" w:line="240" w:lineRule="auto"/>
        <w:textAlignment w:val="center"/>
        <w:rPr>
          <w:rFonts w:ascii="Century Gothic" w:eastAsia="Malgun Gothic" w:hAnsi="Century Gothic" w:cs="Wingdings"/>
        </w:rPr>
      </w:pPr>
      <w:r w:rsidRPr="00891BF2">
        <w:rPr>
          <w:rFonts w:ascii="Century Gothic" w:eastAsia="Malgun Gothic" w:hAnsi="Century Gothic" w:cs="Wingdings"/>
        </w:rPr>
        <w:t>The MDMS shall have the capability to aggregate half-hour meter interval data in near real time of large groups of metering points within a network hierarchy.</w:t>
      </w:r>
    </w:p>
    <w:p w14:paraId="14A5E42E" w14:textId="77777777" w:rsidR="00B57374" w:rsidRPr="00B57374" w:rsidRDefault="00B57374" w:rsidP="00871EE8">
      <w:pPr>
        <w:pStyle w:val="BodyText"/>
        <w:numPr>
          <w:ilvl w:val="0"/>
          <w:numId w:val="34"/>
        </w:numPr>
        <w:spacing w:beforeLines="60" w:before="144" w:afterLines="60" w:after="144" w:line="240" w:lineRule="auto"/>
        <w:rPr>
          <w:rFonts w:ascii="Century Gothic" w:hAnsi="Century Gothic"/>
          <w:lang w:eastAsia="en-ZA"/>
        </w:rPr>
      </w:pPr>
      <w:r w:rsidRPr="00B57374">
        <w:rPr>
          <w:rFonts w:ascii="Century Gothic" w:hAnsi="Century Gothic"/>
          <w:lang w:eastAsia="en-ZA"/>
        </w:rPr>
        <w:t>Billing Engine Component: The MDMS includes a billing engine that supports provisional and published billing, configurable tariffs, Time of Use (TOU) support, and TOU calendars.</w:t>
      </w:r>
    </w:p>
    <w:p w14:paraId="3B2F721B" w14:textId="49DE7E41" w:rsidR="00B57374" w:rsidRPr="00891BF2" w:rsidRDefault="00B57374" w:rsidP="00871EE8">
      <w:pPr>
        <w:pStyle w:val="BodyText"/>
        <w:numPr>
          <w:ilvl w:val="0"/>
          <w:numId w:val="34"/>
        </w:numPr>
        <w:spacing w:beforeLines="60" w:before="144" w:afterLines="60" w:after="144" w:line="240" w:lineRule="auto"/>
        <w:rPr>
          <w:rFonts w:ascii="Century Gothic" w:eastAsia="Malgun Gothic" w:hAnsi="Century Gothic" w:cs="Wingdings"/>
          <w:lang w:eastAsia="en-ZA"/>
        </w:rPr>
      </w:pPr>
      <w:r w:rsidRPr="00B57374">
        <w:rPr>
          <w:rFonts w:ascii="Century Gothic" w:hAnsi="Century Gothic"/>
          <w:lang w:eastAsia="en-ZA"/>
        </w:rPr>
        <w:t>Based on the outcome</w:t>
      </w:r>
      <w:r w:rsidRPr="00891BF2">
        <w:rPr>
          <w:rFonts w:ascii="Century Gothic" w:hAnsi="Century Gothic"/>
          <w:color w:val="000000" w:themeColor="text1"/>
        </w:rPr>
        <w:t xml:space="preserve"> of the event processing functionality, the </w:t>
      </w:r>
      <w:r w:rsidR="0031443D">
        <w:rPr>
          <w:rFonts w:ascii="Century Gothic" w:hAnsi="Century Gothic"/>
          <w:color w:val="000000" w:themeColor="text1"/>
        </w:rPr>
        <w:t>system</w:t>
      </w:r>
      <w:r w:rsidRPr="00891BF2">
        <w:rPr>
          <w:rFonts w:ascii="Century Gothic" w:hAnsi="Century Gothic"/>
          <w:color w:val="000000" w:themeColor="text1"/>
        </w:rPr>
        <w:t xml:space="preserve"> can trigger </w:t>
      </w:r>
    </w:p>
    <w:p w14:paraId="263954E5" w14:textId="77777777" w:rsidR="00B57374" w:rsidRPr="00891BF2" w:rsidRDefault="00B57374" w:rsidP="00871EE8">
      <w:pPr>
        <w:numPr>
          <w:ilvl w:val="0"/>
          <w:numId w:val="58"/>
        </w:numPr>
        <w:spacing w:beforeLines="60" w:before="144" w:afterLines="60" w:after="144" w:line="240" w:lineRule="auto"/>
        <w:textAlignment w:val="center"/>
        <w:rPr>
          <w:rFonts w:ascii="Century Gothic" w:eastAsia="Malgun Gothic" w:hAnsi="Century Gothic" w:cs="Wingdings"/>
        </w:rPr>
      </w:pPr>
      <w:r w:rsidRPr="00891BF2">
        <w:rPr>
          <w:rFonts w:ascii="Century Gothic" w:eastAsia="Malgun Gothic" w:hAnsi="Century Gothic" w:cs="Wingdings"/>
        </w:rPr>
        <w:t xml:space="preserve">Provisional Bills: Provisional bills, also known as interim bills or estimated bills, are generated based on estimated or predicted meter readings when actual meter data is not available or up to date. These bills are temporary and serve as a placeholder until the actual meter readings can be obtained. Provisional bills are typically generated </w:t>
      </w:r>
      <w:r w:rsidRPr="00891BF2">
        <w:rPr>
          <w:rFonts w:ascii="Century Gothic" w:eastAsia="Malgun Gothic" w:hAnsi="Century Gothic" w:cs="Wingdings"/>
        </w:rPr>
        <w:lastRenderedPageBreak/>
        <w:t xml:space="preserve">using historical consumption patterns, statistical algorithms, or predefined estimation methods. Provisional bills are useful in situations where there may be delays in receiving the actual meter data, such as when there are communication issues with the AMI system or when meter readings are not available for a specific billing cycle. They provide a temporary billing solution to ensure that customers receive regular invoices and can make payments based on estimated consumption. </w:t>
      </w:r>
    </w:p>
    <w:p w14:paraId="007A9BEE" w14:textId="77777777" w:rsidR="00B57374" w:rsidRPr="00891BF2" w:rsidRDefault="00B57374" w:rsidP="00871EE8">
      <w:pPr>
        <w:numPr>
          <w:ilvl w:val="0"/>
          <w:numId w:val="58"/>
        </w:numPr>
        <w:spacing w:beforeLines="60" w:before="144" w:afterLines="60" w:after="144" w:line="240" w:lineRule="auto"/>
        <w:textAlignment w:val="center"/>
        <w:rPr>
          <w:rFonts w:ascii="Century Gothic" w:eastAsia="Malgun Gothic" w:hAnsi="Century Gothic" w:cs="Wingdings"/>
        </w:rPr>
      </w:pPr>
      <w:r w:rsidRPr="00891BF2">
        <w:rPr>
          <w:rFonts w:ascii="Century Gothic" w:eastAsia="Malgun Gothic" w:hAnsi="Century Gothic" w:cs="Wingdings"/>
        </w:rPr>
        <w:t>Published Bills: Published bills, also referred to as final bills or actual bills, are generated when the accurate and validated meter data becomes available. These bills reflect the actual consumption recorded by the smart meters in the AMI system. Published bills replace the provisional bills and provide customers with the precise amount owed based on their actual usage. The process of generating published bills involves retrieving the validated meter data from the MDMS, applying the appropriate tariff rates, calculating the charges, and generating the final bill statement. Published bills provide customers with accurate and reliable information for billing purposes and are typically considered official invoices for payment.</w:t>
      </w:r>
    </w:p>
    <w:p w14:paraId="7ABC988E" w14:textId="77777777" w:rsidR="00B57374" w:rsidRPr="00891BF2" w:rsidRDefault="00B57374" w:rsidP="00871EE8">
      <w:pPr>
        <w:numPr>
          <w:ilvl w:val="0"/>
          <w:numId w:val="58"/>
        </w:numPr>
        <w:spacing w:beforeLines="60" w:before="144" w:afterLines="60" w:after="144" w:line="240" w:lineRule="auto"/>
        <w:textAlignment w:val="center"/>
        <w:rPr>
          <w:rFonts w:ascii="Century Gothic" w:eastAsia="Malgun Gothic" w:hAnsi="Century Gothic" w:cs="Wingdings"/>
        </w:rPr>
      </w:pPr>
      <w:r w:rsidRPr="00891BF2">
        <w:rPr>
          <w:rFonts w:ascii="Century Gothic" w:eastAsia="Malgun Gothic" w:hAnsi="Century Gothic" w:cs="Wingdings"/>
        </w:rPr>
        <w:t>Configurable Tariffs: The Billing Engine in the MDMS enables the flexibility to define and configure different tariff structures. Tariffs can be customized based on factors such as time of day, customer category, peak and off-peak periods, seasons, and other variables. This allows utilities or service providers to implement various pricing structures tailored to their specific business requirements.</w:t>
      </w:r>
    </w:p>
    <w:p w14:paraId="3035680A" w14:textId="1317A9EF" w:rsidR="00B57374" w:rsidRPr="00891BF2" w:rsidRDefault="00B57374" w:rsidP="00871EE8">
      <w:pPr>
        <w:numPr>
          <w:ilvl w:val="0"/>
          <w:numId w:val="58"/>
        </w:numPr>
        <w:spacing w:beforeLines="60" w:before="144" w:afterLines="60" w:after="144" w:line="240" w:lineRule="auto"/>
        <w:textAlignment w:val="center"/>
        <w:rPr>
          <w:rFonts w:ascii="Century Gothic" w:eastAsia="Malgun Gothic" w:hAnsi="Century Gothic" w:cs="Wingdings"/>
        </w:rPr>
      </w:pPr>
      <w:r w:rsidRPr="00891BF2">
        <w:rPr>
          <w:rFonts w:ascii="Century Gothic" w:eastAsia="Malgun Gothic" w:hAnsi="Century Gothic" w:cs="Wingdings"/>
        </w:rPr>
        <w:t>Time</w:t>
      </w:r>
      <w:r w:rsidR="00915952">
        <w:rPr>
          <w:rFonts w:ascii="Century Gothic" w:eastAsia="Malgun Gothic" w:hAnsi="Century Gothic" w:cs="Wingdings"/>
        </w:rPr>
        <w:t>-</w:t>
      </w:r>
      <w:r w:rsidRPr="00891BF2">
        <w:rPr>
          <w:rFonts w:ascii="Century Gothic" w:eastAsia="Malgun Gothic" w:hAnsi="Century Gothic" w:cs="Wingdings"/>
        </w:rPr>
        <w:t>of</w:t>
      </w:r>
      <w:r w:rsidR="00915952">
        <w:rPr>
          <w:rFonts w:ascii="Century Gothic" w:eastAsia="Malgun Gothic" w:hAnsi="Century Gothic" w:cs="Wingdings"/>
        </w:rPr>
        <w:t>-</w:t>
      </w:r>
      <w:r w:rsidRPr="00891BF2">
        <w:rPr>
          <w:rFonts w:ascii="Century Gothic" w:eastAsia="Malgun Gothic" w:hAnsi="Century Gothic" w:cs="Wingdings"/>
        </w:rPr>
        <w:t>Use (TOU) Support: TOU is a billing method that varies the charges based on different time periods or time-of-day usage. The MDMS with a Billing Engine supporting TOU allows for the application of different rates for specific time intervals. This enables utilities to incentivize or discourage energy consumption during specific periods, such as peak hours or off-peak hours, by offering different pricing tiers.</w:t>
      </w:r>
    </w:p>
    <w:p w14:paraId="6D6D9137" w14:textId="679C8F10" w:rsidR="00B57374" w:rsidRPr="00BC3832" w:rsidRDefault="00B57374" w:rsidP="00871EE8">
      <w:pPr>
        <w:numPr>
          <w:ilvl w:val="0"/>
          <w:numId w:val="58"/>
        </w:numPr>
        <w:spacing w:beforeLines="60" w:before="144" w:afterLines="60" w:after="144" w:line="240" w:lineRule="auto"/>
        <w:textAlignment w:val="center"/>
        <w:rPr>
          <w:rFonts w:ascii="Century Gothic" w:eastAsia="Malgun Gothic" w:hAnsi="Century Gothic" w:cs="Wingdings"/>
        </w:rPr>
      </w:pPr>
      <w:r w:rsidRPr="00891BF2">
        <w:rPr>
          <w:rFonts w:ascii="Century Gothic" w:eastAsia="Malgun Gothic" w:hAnsi="Century Gothic" w:cs="Wingdings"/>
        </w:rPr>
        <w:t>TOU Calendars: The MDMS with a Billing Engine supporting TOU typically includes functionality to manage TOU calendars. These calendars define the specific time intervals, or time-of-day periods associated with different rate structures. Utilities can configure the TOU calendars to reflect their desired peak and off-peak periods, considering factors like weekdays, weekends, holidays, and seasonal variations.</w:t>
      </w:r>
    </w:p>
    <w:p w14:paraId="1F68ED6F" w14:textId="77777777" w:rsidR="00B57374" w:rsidRPr="00B57374" w:rsidRDefault="00B57374" w:rsidP="00871EE8">
      <w:pPr>
        <w:pStyle w:val="BodyText"/>
        <w:numPr>
          <w:ilvl w:val="0"/>
          <w:numId w:val="34"/>
        </w:numPr>
        <w:spacing w:beforeLines="60" w:before="144" w:afterLines="60" w:after="144" w:line="240" w:lineRule="auto"/>
        <w:rPr>
          <w:rFonts w:ascii="Century Gothic" w:hAnsi="Century Gothic"/>
          <w:lang w:eastAsia="en-ZA"/>
        </w:rPr>
      </w:pPr>
      <w:r w:rsidRPr="00B57374">
        <w:rPr>
          <w:rFonts w:ascii="Century Gothic" w:hAnsi="Century Gothic"/>
          <w:lang w:eastAsia="en-ZA"/>
        </w:rPr>
        <w:t xml:space="preserve">Virtual Wallet Functionality: With virtual wallet functionality, customers can deposit a certain amount of money into their virtual wallet account in advance. </w:t>
      </w:r>
    </w:p>
    <w:p w14:paraId="176977F2" w14:textId="10731A47" w:rsidR="00B57374" w:rsidRPr="00891BF2" w:rsidRDefault="00B57374" w:rsidP="00871EE8">
      <w:pPr>
        <w:numPr>
          <w:ilvl w:val="0"/>
          <w:numId w:val="58"/>
        </w:numPr>
        <w:spacing w:beforeLines="60" w:before="144" w:afterLines="60" w:after="144" w:line="240" w:lineRule="auto"/>
        <w:textAlignment w:val="center"/>
        <w:rPr>
          <w:rFonts w:ascii="Century Gothic" w:eastAsia="Malgun Gothic" w:hAnsi="Century Gothic" w:cs="Wingdings"/>
        </w:rPr>
      </w:pPr>
      <w:r w:rsidRPr="00891BF2">
        <w:rPr>
          <w:rFonts w:ascii="Century Gothic" w:eastAsia="Malgun Gothic" w:hAnsi="Century Gothic" w:cs="Wingdings"/>
        </w:rPr>
        <w:t xml:space="preserve">This can be done through various payment methods such as online payments, mobile payments, or payment kiosks provided by the municipality. The municipality maintains a record of the customer's available credit balance in the virtual wallet. As the customer consumes </w:t>
      </w:r>
      <w:r w:rsidR="00CD6BE7">
        <w:rPr>
          <w:rFonts w:ascii="Century Gothic" w:eastAsia="Malgun Gothic" w:hAnsi="Century Gothic" w:cs="Wingdings"/>
        </w:rPr>
        <w:t>electricity</w:t>
      </w:r>
      <w:r w:rsidRPr="00891BF2">
        <w:rPr>
          <w:rFonts w:ascii="Century Gothic" w:eastAsia="Malgun Gothic" w:hAnsi="Century Gothic" w:cs="Wingdings"/>
        </w:rPr>
        <w:t xml:space="preserve">, the corresponding charges are deducted from the virtual wallet balance. </w:t>
      </w:r>
    </w:p>
    <w:p w14:paraId="442B305E" w14:textId="3551FF20" w:rsidR="00B57374" w:rsidRPr="00891BF2" w:rsidRDefault="00B57374" w:rsidP="00871EE8">
      <w:pPr>
        <w:numPr>
          <w:ilvl w:val="0"/>
          <w:numId w:val="58"/>
        </w:numPr>
        <w:spacing w:beforeLines="60" w:before="144" w:afterLines="60" w:after="144" w:line="240" w:lineRule="auto"/>
        <w:textAlignment w:val="center"/>
        <w:rPr>
          <w:rFonts w:ascii="Century Gothic" w:eastAsia="Malgun Gothic" w:hAnsi="Century Gothic" w:cs="Wingdings"/>
        </w:rPr>
      </w:pPr>
      <w:r w:rsidRPr="00891BF2">
        <w:rPr>
          <w:rFonts w:ascii="Century Gothic" w:eastAsia="Malgun Gothic" w:hAnsi="Century Gothic" w:cs="Wingdings"/>
        </w:rPr>
        <w:t xml:space="preserve">Real-time balance updates are provided to customers, allowing them to monitor their remaining balance and track their </w:t>
      </w:r>
      <w:r w:rsidR="00DD557A">
        <w:rPr>
          <w:rFonts w:ascii="Century Gothic" w:eastAsia="Malgun Gothic" w:hAnsi="Century Gothic" w:cs="Wingdings"/>
        </w:rPr>
        <w:t>electricity</w:t>
      </w:r>
      <w:r w:rsidR="00DD557A" w:rsidRPr="00891BF2">
        <w:rPr>
          <w:rFonts w:ascii="Century Gothic" w:eastAsia="Malgun Gothic" w:hAnsi="Century Gothic" w:cs="Wingdings"/>
        </w:rPr>
        <w:t xml:space="preserve"> </w:t>
      </w:r>
      <w:r w:rsidRPr="00891BF2">
        <w:rPr>
          <w:rFonts w:ascii="Century Gothic" w:eastAsia="Malgun Gothic" w:hAnsi="Century Gothic" w:cs="Wingdings"/>
        </w:rPr>
        <w:t xml:space="preserve">consumption. When the virtual wallet balance reaches a certain threshold, the system can send notifications or alerts to the customer, reminding them to top up their account to continue using </w:t>
      </w:r>
      <w:r w:rsidR="00DD557A">
        <w:rPr>
          <w:rFonts w:ascii="Century Gothic" w:eastAsia="Malgun Gothic" w:hAnsi="Century Gothic" w:cs="Wingdings"/>
        </w:rPr>
        <w:t>electricity</w:t>
      </w:r>
      <w:r w:rsidR="00DD557A" w:rsidRPr="00891BF2">
        <w:rPr>
          <w:rFonts w:ascii="Century Gothic" w:eastAsia="Malgun Gothic" w:hAnsi="Century Gothic" w:cs="Wingdings"/>
        </w:rPr>
        <w:t xml:space="preserve"> </w:t>
      </w:r>
      <w:r w:rsidRPr="00891BF2">
        <w:rPr>
          <w:rFonts w:ascii="Century Gothic" w:eastAsia="Malgun Gothic" w:hAnsi="Century Gothic" w:cs="Wingdings"/>
        </w:rPr>
        <w:t>services.</w:t>
      </w:r>
      <w:r w:rsidR="00234BE1">
        <w:rPr>
          <w:rFonts w:ascii="Century Gothic" w:eastAsia="Malgun Gothic" w:hAnsi="Century Gothic" w:cs="Wingdings"/>
        </w:rPr>
        <w:t xml:space="preserve"> Credits for wheeling could be loaded onto the customers wallet.</w:t>
      </w:r>
    </w:p>
    <w:p w14:paraId="47EB5B7E" w14:textId="25B542B2" w:rsidR="00B57374" w:rsidRPr="00891BF2" w:rsidRDefault="00B57374" w:rsidP="00871EE8">
      <w:pPr>
        <w:numPr>
          <w:ilvl w:val="0"/>
          <w:numId w:val="58"/>
        </w:numPr>
        <w:spacing w:beforeLines="60" w:before="144" w:afterLines="60" w:after="144" w:line="240" w:lineRule="auto"/>
        <w:textAlignment w:val="center"/>
        <w:rPr>
          <w:rFonts w:ascii="Century Gothic" w:eastAsia="Malgun Gothic" w:hAnsi="Century Gothic" w:cs="Wingdings"/>
        </w:rPr>
      </w:pPr>
      <w:r w:rsidRPr="00891BF2">
        <w:rPr>
          <w:rFonts w:ascii="Century Gothic" w:eastAsia="Malgun Gothic" w:hAnsi="Century Gothic" w:cs="Wingdings"/>
        </w:rPr>
        <w:t xml:space="preserve">The virtual wallet functionality offers flexibility and control to customers. They can adjust their </w:t>
      </w:r>
      <w:r w:rsidR="00DD557A">
        <w:rPr>
          <w:rFonts w:ascii="Century Gothic" w:eastAsia="Malgun Gothic" w:hAnsi="Century Gothic" w:cs="Wingdings"/>
        </w:rPr>
        <w:t>electricity</w:t>
      </w:r>
      <w:r w:rsidR="00DD557A" w:rsidRPr="00891BF2">
        <w:rPr>
          <w:rFonts w:ascii="Century Gothic" w:eastAsia="Malgun Gothic" w:hAnsi="Century Gothic" w:cs="Wingdings"/>
        </w:rPr>
        <w:t xml:space="preserve"> </w:t>
      </w:r>
      <w:r w:rsidRPr="00891BF2">
        <w:rPr>
          <w:rFonts w:ascii="Century Gothic" w:eastAsia="Malgun Gothic" w:hAnsi="Century Gothic" w:cs="Wingdings"/>
        </w:rPr>
        <w:t xml:space="preserve">usage based on the credit available in their virtual wallet, allowing them to make informed decisions about their consumption patterns. </w:t>
      </w:r>
    </w:p>
    <w:p w14:paraId="2B21C658" w14:textId="004573BB" w:rsidR="00B57374" w:rsidRPr="00891BF2" w:rsidRDefault="00B57374" w:rsidP="00871EE8">
      <w:pPr>
        <w:numPr>
          <w:ilvl w:val="0"/>
          <w:numId w:val="58"/>
        </w:numPr>
        <w:spacing w:beforeLines="60" w:before="144" w:afterLines="60" w:after="144" w:line="240" w:lineRule="auto"/>
        <w:textAlignment w:val="center"/>
        <w:rPr>
          <w:rFonts w:ascii="Century Gothic" w:eastAsia="Malgun Gothic" w:hAnsi="Century Gothic" w:cs="Wingdings"/>
        </w:rPr>
      </w:pPr>
      <w:r w:rsidRPr="00891BF2">
        <w:rPr>
          <w:rFonts w:ascii="Century Gothic" w:eastAsia="Malgun Gothic" w:hAnsi="Century Gothic" w:cs="Wingdings"/>
        </w:rPr>
        <w:t xml:space="preserve">Customers have the convenience of managing their prepaid credit and </w:t>
      </w:r>
      <w:r w:rsidR="00DD557A">
        <w:rPr>
          <w:rFonts w:ascii="Century Gothic" w:eastAsia="Malgun Gothic" w:hAnsi="Century Gothic" w:cs="Wingdings"/>
        </w:rPr>
        <w:t>electricity</w:t>
      </w:r>
      <w:r w:rsidR="00DD557A" w:rsidRPr="00891BF2">
        <w:rPr>
          <w:rFonts w:ascii="Century Gothic" w:eastAsia="Malgun Gothic" w:hAnsi="Century Gothic" w:cs="Wingdings"/>
        </w:rPr>
        <w:t xml:space="preserve"> </w:t>
      </w:r>
      <w:r w:rsidRPr="00891BF2">
        <w:rPr>
          <w:rFonts w:ascii="Century Gothic" w:eastAsia="Malgun Gothic" w:hAnsi="Century Gothic" w:cs="Wingdings"/>
        </w:rPr>
        <w:t xml:space="preserve">usage through online portals, mobile apps, authorized retailers, or self-service kiosks provided by the municipality. </w:t>
      </w:r>
    </w:p>
    <w:p w14:paraId="3389FD1C" w14:textId="77777777" w:rsidR="00B57374" w:rsidRPr="00B57374" w:rsidRDefault="00B57374" w:rsidP="00871EE8">
      <w:pPr>
        <w:pStyle w:val="BodyText"/>
        <w:numPr>
          <w:ilvl w:val="0"/>
          <w:numId w:val="34"/>
        </w:numPr>
        <w:spacing w:beforeLines="60" w:before="144" w:afterLines="60" w:after="144" w:line="240" w:lineRule="auto"/>
        <w:rPr>
          <w:rFonts w:ascii="Century Gothic" w:hAnsi="Century Gothic"/>
          <w:lang w:eastAsia="en-ZA"/>
        </w:rPr>
      </w:pPr>
      <w:r w:rsidRPr="00B57374">
        <w:rPr>
          <w:rFonts w:ascii="Century Gothic" w:hAnsi="Century Gothic"/>
          <w:lang w:eastAsia="en-ZA"/>
        </w:rPr>
        <w:t>User Roles:</w:t>
      </w:r>
    </w:p>
    <w:p w14:paraId="4FBFEFD7" w14:textId="77777777" w:rsidR="00B57374" w:rsidRPr="00891BF2" w:rsidRDefault="00B57374" w:rsidP="00871EE8">
      <w:pPr>
        <w:numPr>
          <w:ilvl w:val="0"/>
          <w:numId w:val="58"/>
        </w:numPr>
        <w:spacing w:beforeLines="60" w:before="144" w:afterLines="60" w:after="144" w:line="240" w:lineRule="auto"/>
        <w:textAlignment w:val="center"/>
        <w:rPr>
          <w:rFonts w:ascii="Century Gothic" w:eastAsia="Malgun Gothic" w:hAnsi="Century Gothic" w:cs="Wingdings"/>
        </w:rPr>
      </w:pPr>
      <w:r w:rsidRPr="00891BF2">
        <w:rPr>
          <w:rFonts w:ascii="Century Gothic" w:eastAsia="Malgun Gothic" w:hAnsi="Century Gothic" w:cs="Wingdings"/>
        </w:rPr>
        <w:t>The MDMS should provide the capability to assign different roles to various users. This allows for dynamic role assignment based on the user's responsibilities and permissions.</w:t>
      </w:r>
    </w:p>
    <w:p w14:paraId="1160EEB0" w14:textId="77777777" w:rsidR="00B57374" w:rsidRPr="00891BF2" w:rsidRDefault="00B57374" w:rsidP="00871EE8">
      <w:pPr>
        <w:numPr>
          <w:ilvl w:val="0"/>
          <w:numId w:val="58"/>
        </w:numPr>
        <w:spacing w:beforeLines="60" w:before="144" w:afterLines="60" w:after="144" w:line="240" w:lineRule="auto"/>
        <w:textAlignment w:val="center"/>
        <w:rPr>
          <w:rFonts w:ascii="Century Gothic" w:eastAsia="Malgun Gothic" w:hAnsi="Century Gothic" w:cs="Wingdings"/>
        </w:rPr>
      </w:pPr>
      <w:r w:rsidRPr="00891BF2">
        <w:rPr>
          <w:rFonts w:ascii="Century Gothic" w:eastAsia="Malgun Gothic" w:hAnsi="Century Gothic" w:cs="Wingdings"/>
        </w:rPr>
        <w:lastRenderedPageBreak/>
        <w:t>Administrators should be able to assign a role to one or more users, allowing them to manage access and permissions effectively.</w:t>
      </w:r>
    </w:p>
    <w:p w14:paraId="4EB198C6" w14:textId="77777777" w:rsidR="00B57374" w:rsidRPr="00891BF2" w:rsidRDefault="00B57374" w:rsidP="00871EE8">
      <w:pPr>
        <w:numPr>
          <w:ilvl w:val="0"/>
          <w:numId w:val="58"/>
        </w:numPr>
        <w:spacing w:beforeLines="60" w:before="144" w:afterLines="60" w:after="144" w:line="240" w:lineRule="auto"/>
        <w:textAlignment w:val="center"/>
        <w:rPr>
          <w:rFonts w:ascii="Century Gothic" w:eastAsia="Malgun Gothic" w:hAnsi="Century Gothic" w:cs="Wingdings"/>
        </w:rPr>
      </w:pPr>
      <w:r w:rsidRPr="00891BF2">
        <w:rPr>
          <w:rFonts w:ascii="Century Gothic" w:eastAsia="Malgun Gothic" w:hAnsi="Century Gothic" w:cs="Wingdings"/>
        </w:rPr>
        <w:t>Users can also be assigned to multiple roles, granting them access to different functionalities based on their responsibilities.</w:t>
      </w:r>
    </w:p>
    <w:p w14:paraId="0E3EBEAC" w14:textId="77777777" w:rsidR="00B57374" w:rsidRPr="00891BF2" w:rsidRDefault="00B57374" w:rsidP="00871EE8">
      <w:pPr>
        <w:numPr>
          <w:ilvl w:val="0"/>
          <w:numId w:val="58"/>
        </w:numPr>
        <w:spacing w:beforeLines="60" w:before="144" w:afterLines="60" w:after="144" w:line="240" w:lineRule="auto"/>
        <w:textAlignment w:val="center"/>
        <w:rPr>
          <w:rFonts w:ascii="Century Gothic" w:eastAsia="Malgun Gothic" w:hAnsi="Century Gothic" w:cs="Wingdings"/>
        </w:rPr>
      </w:pPr>
      <w:r w:rsidRPr="00891BF2">
        <w:rPr>
          <w:rFonts w:ascii="Century Gothic" w:eastAsia="Malgun Gothic" w:hAnsi="Century Gothic" w:cs="Wingdings"/>
        </w:rPr>
        <w:t>Access to specific functionalities within the MDMS can be authorized based on user roles, ensuring that users only have access to the relevant features required for their tasks.</w:t>
      </w:r>
    </w:p>
    <w:p w14:paraId="18257EB0" w14:textId="77777777" w:rsidR="00B57374" w:rsidRPr="00891BF2" w:rsidRDefault="00B57374" w:rsidP="00871EE8">
      <w:pPr>
        <w:numPr>
          <w:ilvl w:val="0"/>
          <w:numId w:val="58"/>
        </w:numPr>
        <w:spacing w:beforeLines="60" w:before="144" w:afterLines="60" w:after="144" w:line="240" w:lineRule="auto"/>
        <w:textAlignment w:val="center"/>
        <w:rPr>
          <w:rFonts w:ascii="Century Gothic" w:eastAsia="Malgun Gothic" w:hAnsi="Century Gothic" w:cs="Wingdings"/>
        </w:rPr>
      </w:pPr>
      <w:r w:rsidRPr="00891BF2">
        <w:rPr>
          <w:rFonts w:ascii="Century Gothic" w:eastAsia="Malgun Gothic" w:hAnsi="Century Gothic" w:cs="Wingdings"/>
        </w:rPr>
        <w:t>The system should support the creation of new roles based on existing roles, enabling the customization of access rights and permissions as needed.</w:t>
      </w:r>
    </w:p>
    <w:p w14:paraId="2D1BB495" w14:textId="08FF972E" w:rsidR="0031719D" w:rsidRDefault="006D40FF" w:rsidP="00871EE8">
      <w:pPr>
        <w:pStyle w:val="BodyText"/>
        <w:numPr>
          <w:ilvl w:val="0"/>
          <w:numId w:val="34"/>
        </w:numPr>
        <w:spacing w:beforeLines="60" w:before="144" w:afterLines="60" w:after="144" w:line="240" w:lineRule="auto"/>
        <w:rPr>
          <w:rFonts w:ascii="Century Gothic" w:hAnsi="Century Gothic"/>
          <w:lang w:eastAsia="en-ZA"/>
        </w:rPr>
      </w:pPr>
      <w:r>
        <w:rPr>
          <w:rFonts w:ascii="Century Gothic" w:hAnsi="Century Gothic"/>
          <w:lang w:eastAsia="en-ZA"/>
        </w:rPr>
        <w:t>Standards to comply to</w:t>
      </w:r>
      <w:r w:rsidR="0031719D" w:rsidRPr="00B57374">
        <w:rPr>
          <w:rFonts w:ascii="Century Gothic" w:hAnsi="Century Gothic"/>
          <w:lang w:eastAsia="en-ZA"/>
        </w:rPr>
        <w:t>:</w:t>
      </w:r>
    </w:p>
    <w:p w14:paraId="1BD7FA8C" w14:textId="77777777" w:rsidR="00AA2D68" w:rsidRPr="00891BF2" w:rsidRDefault="00AA2D68" w:rsidP="00871EE8">
      <w:pPr>
        <w:numPr>
          <w:ilvl w:val="0"/>
          <w:numId w:val="58"/>
        </w:numPr>
        <w:tabs>
          <w:tab w:val="clear" w:pos="720"/>
          <w:tab w:val="num" w:pos="993"/>
        </w:tabs>
        <w:spacing w:beforeLines="60" w:before="144" w:afterLines="60" w:after="144" w:line="240" w:lineRule="auto"/>
        <w:textAlignment w:val="center"/>
        <w:rPr>
          <w:rFonts w:ascii="Century Gothic" w:eastAsia="Malgun Gothic" w:hAnsi="Century Gothic" w:cs="Wingdings"/>
        </w:rPr>
      </w:pPr>
      <w:r w:rsidRPr="00891BF2">
        <w:rPr>
          <w:rFonts w:ascii="Century Gothic" w:eastAsia="Malgun Gothic" w:hAnsi="Century Gothic" w:cs="Wingdings"/>
        </w:rPr>
        <w:t>IEC 61968 (CIM): Common Information Model (CIM) is an international standard for modelling and exchanging information about electric power systems. It provides a common framework for data exchange between different systems and devices, ensuring interoperability.</w:t>
      </w:r>
    </w:p>
    <w:p w14:paraId="1FE12869" w14:textId="24FB5AC3" w:rsidR="00AA2D68" w:rsidRPr="00AA2D68" w:rsidRDefault="00AA2D68" w:rsidP="00871EE8">
      <w:pPr>
        <w:numPr>
          <w:ilvl w:val="0"/>
          <w:numId w:val="58"/>
        </w:numPr>
        <w:tabs>
          <w:tab w:val="clear" w:pos="720"/>
          <w:tab w:val="num" w:pos="993"/>
        </w:tabs>
        <w:spacing w:beforeLines="60" w:before="144" w:afterLines="60" w:after="144" w:line="240" w:lineRule="auto"/>
        <w:ind w:left="360"/>
        <w:textAlignment w:val="center"/>
        <w:rPr>
          <w:rFonts w:ascii="Century Gothic" w:eastAsiaTheme="minorEastAsia" w:hAnsi="Century Gothic" w:cstheme="minorBidi"/>
        </w:rPr>
      </w:pPr>
      <w:r w:rsidRPr="00AA2D68">
        <w:rPr>
          <w:rFonts w:ascii="Century Gothic" w:eastAsia="Malgun Gothic" w:hAnsi="Century Gothic" w:cs="Wingdings"/>
        </w:rPr>
        <w:t>NRS 049:2016  - ADVANCED METERING INFRASTUCTURE REQUIREMENT FOR SMART METERING SYSTEM. NRS 049 presents an "open standard" reference architecture which means that each entity within the metering system presents a standard interface and a standard semantic</w:t>
      </w:r>
      <w:r w:rsidR="00077AF3">
        <w:rPr>
          <w:rFonts w:ascii="Century Gothic" w:eastAsia="Malgun Gothic" w:hAnsi="Century Gothic" w:cs="Wingdings"/>
        </w:rPr>
        <w:t>,</w:t>
      </w:r>
      <w:r w:rsidRPr="00AA2D68">
        <w:rPr>
          <w:rFonts w:ascii="Century Gothic" w:eastAsia="Malgun Gothic" w:hAnsi="Century Gothic" w:cs="Wingdings"/>
        </w:rPr>
        <w:t xml:space="preserve"> and Utilities are thus able to specify any part of the system optionally and selectively, or an integration of selected parts into sub-systems, while still adhering to the standard interfaces. NRS 049 covers the entire smart metering system from the enterprise level down to the end device. </w:t>
      </w:r>
    </w:p>
    <w:p w14:paraId="27839FA6" w14:textId="4762F9B6" w:rsidR="00BB7FC0" w:rsidRDefault="00BB7FC0" w:rsidP="007C0C8A"/>
    <w:p w14:paraId="64884CD6" w14:textId="264B6586" w:rsidR="00BB7FC0" w:rsidRDefault="00BB7FC0" w:rsidP="007C0C8A"/>
    <w:p w14:paraId="6BC90A85" w14:textId="1AA57180" w:rsidR="00BB7FC0" w:rsidRDefault="00BB7FC0" w:rsidP="007C0C8A"/>
    <w:p w14:paraId="5800059A" w14:textId="0F7F47EB" w:rsidR="00BB7FC0" w:rsidRDefault="00BB7FC0" w:rsidP="007C0C8A"/>
    <w:p w14:paraId="26CCAC25" w14:textId="6A61B018" w:rsidR="00BB7FC0" w:rsidRDefault="00BB7FC0" w:rsidP="007C0C8A"/>
    <w:p w14:paraId="0F6B103D" w14:textId="3C0BD5A2" w:rsidR="00BB7FC0" w:rsidRDefault="00BB7FC0" w:rsidP="007C0C8A"/>
    <w:p w14:paraId="48592D4E" w14:textId="1353EDC0" w:rsidR="00BB7FC0" w:rsidRDefault="00BB7FC0" w:rsidP="007C0C8A"/>
    <w:p w14:paraId="50241698" w14:textId="0639B37F" w:rsidR="00BB7FC0" w:rsidRDefault="00BB7FC0" w:rsidP="007C0C8A"/>
    <w:p w14:paraId="3D769D3B" w14:textId="7D538458" w:rsidR="00BB7FC0" w:rsidRDefault="00BB7FC0" w:rsidP="007C0C8A"/>
    <w:p w14:paraId="212382C9" w14:textId="23D8C1B1" w:rsidR="00BB7FC0" w:rsidRDefault="00BB7FC0" w:rsidP="007C0C8A"/>
    <w:p w14:paraId="10EB7C56" w14:textId="485129DC" w:rsidR="00BB7FC0" w:rsidRDefault="00BB7FC0" w:rsidP="007C0C8A"/>
    <w:p w14:paraId="66286A06" w14:textId="04B93F0E" w:rsidR="00BB7FC0" w:rsidRDefault="00BB7FC0" w:rsidP="007C0C8A"/>
    <w:p w14:paraId="1EB14726" w14:textId="28DC3FBC" w:rsidR="00BB7FC0" w:rsidRDefault="00BB7FC0" w:rsidP="007C0C8A"/>
    <w:p w14:paraId="23FD76AD" w14:textId="01DF630D" w:rsidR="00BB7FC0" w:rsidRDefault="00BB7FC0" w:rsidP="007C0C8A"/>
    <w:p w14:paraId="24D23058" w14:textId="05F4FCAB" w:rsidR="00922841" w:rsidRDefault="00922841" w:rsidP="007C0C8A"/>
    <w:p w14:paraId="68E671CE" w14:textId="2A31EC43" w:rsidR="009F4780" w:rsidRDefault="009F4780" w:rsidP="007C0C8A"/>
    <w:p w14:paraId="46F8F565" w14:textId="620084B6" w:rsidR="009F4780" w:rsidRDefault="009F4780" w:rsidP="007C0C8A"/>
    <w:p w14:paraId="59010326" w14:textId="218B14AD" w:rsidR="007B3A8B" w:rsidRDefault="007B3A8B" w:rsidP="007C0C8A"/>
    <w:p w14:paraId="0F69A6E9" w14:textId="7EF49D5B" w:rsidR="007B3A8B" w:rsidRDefault="007B3A8B" w:rsidP="007C0C8A"/>
    <w:p w14:paraId="00AF2ECD" w14:textId="77777777" w:rsidR="007B3A8B" w:rsidRDefault="007B3A8B" w:rsidP="007C0C8A"/>
    <w:p w14:paraId="19C516B3" w14:textId="77777777" w:rsidR="007B3A8B" w:rsidRDefault="007B3A8B" w:rsidP="007C0C8A"/>
    <w:p w14:paraId="7D537AEB" w14:textId="35829076" w:rsidR="007B3A8B" w:rsidRDefault="005C61E8" w:rsidP="007C0C8A">
      <w:r>
        <w:rPr>
          <w:noProof/>
        </w:rPr>
        <w:lastRenderedPageBreak/>
        <mc:AlternateContent>
          <mc:Choice Requires="wps">
            <w:drawing>
              <wp:anchor distT="0" distB="0" distL="114300" distR="114300" simplePos="0" relativeHeight="251660288" behindDoc="0" locked="0" layoutInCell="1" allowOverlap="1" wp14:anchorId="4109CBA7" wp14:editId="43AEE0C2">
                <wp:simplePos x="0" y="0"/>
                <wp:positionH relativeFrom="page">
                  <wp:posOffset>-541940</wp:posOffset>
                </wp:positionH>
                <wp:positionV relativeFrom="paragraph">
                  <wp:posOffset>-791210</wp:posOffset>
                </wp:positionV>
                <wp:extent cx="8172450" cy="11508105"/>
                <wp:effectExtent l="57150" t="19050" r="76200" b="93345"/>
                <wp:wrapNone/>
                <wp:docPr id="3" name="Rectangle 3"/>
                <wp:cNvGraphicFramePr/>
                <a:graphic xmlns:a="http://schemas.openxmlformats.org/drawingml/2006/main">
                  <a:graphicData uri="http://schemas.microsoft.com/office/word/2010/wordprocessingShape">
                    <wps:wsp>
                      <wps:cNvSpPr/>
                      <wps:spPr>
                        <a:xfrm>
                          <a:off x="0" y="0"/>
                          <a:ext cx="8172450" cy="11508105"/>
                        </a:xfrm>
                        <a:prstGeom prst="rect">
                          <a:avLst/>
                        </a:prstGeom>
                        <a:solidFill>
                          <a:schemeClr val="tx1">
                            <a:lumMod val="65000"/>
                            <a:lumOff val="3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CDF92B" id="Rectangle 3" o:spid="_x0000_s1026" style="position:absolute;margin-left:-42.65pt;margin-top:-62.3pt;width:643.5pt;height:906.1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" fillcolor="#5a5a5a [2109]" strokecolor="#4579b8 [3044]">
                <v:shadow on="t" color="black" opacity="22937f" origin=",.5" offset="0,.63889mm"/>
                <w10:wrap anchorx="page"/>
              </v:rect>
            </w:pict>
          </mc:Fallback>
        </mc:AlternateContent>
      </w:r>
    </w:p>
    <w:p w14:paraId="3336A9AA" w14:textId="184115A4" w:rsidR="007B3A8B" w:rsidRDefault="007B3A8B" w:rsidP="007C0C8A"/>
    <w:p w14:paraId="4BE1677E" w14:textId="77777777" w:rsidR="007B3A8B" w:rsidRDefault="007B3A8B" w:rsidP="007C0C8A"/>
    <w:p w14:paraId="01C582F6" w14:textId="7E110D76" w:rsidR="007B3A8B" w:rsidRDefault="007B3A8B" w:rsidP="007C0C8A"/>
    <w:p w14:paraId="09E0BA8E" w14:textId="123E415A" w:rsidR="007B3A8B" w:rsidRDefault="007B3A8B" w:rsidP="007C0C8A"/>
    <w:p w14:paraId="6FF50CEF" w14:textId="0D699332" w:rsidR="007B3A8B" w:rsidRDefault="007B3A8B" w:rsidP="007C0C8A"/>
    <w:p w14:paraId="7DE49060" w14:textId="7936D6CE" w:rsidR="007B3A8B" w:rsidRDefault="007B3A8B" w:rsidP="007C0C8A"/>
    <w:p w14:paraId="0B88374B" w14:textId="7F353279" w:rsidR="007B3A8B" w:rsidRDefault="007B3A8B" w:rsidP="007C0C8A"/>
    <w:p w14:paraId="2AA0EC02" w14:textId="0F5B2CB2" w:rsidR="007B3A8B" w:rsidRDefault="007B3A8B" w:rsidP="007C0C8A"/>
    <w:p w14:paraId="3862BD0E" w14:textId="129122A9" w:rsidR="007B3A8B" w:rsidRDefault="007B3A8B" w:rsidP="007C0C8A"/>
    <w:p w14:paraId="52524A88" w14:textId="08D9168B" w:rsidR="007B3A8B" w:rsidRDefault="007B3A8B" w:rsidP="007C0C8A"/>
    <w:p w14:paraId="0033F407" w14:textId="77777777" w:rsidR="007B3A8B" w:rsidRDefault="007B3A8B" w:rsidP="007C0C8A"/>
    <w:p w14:paraId="063F0ABD" w14:textId="77777777" w:rsidR="007B3A8B" w:rsidRDefault="007B3A8B" w:rsidP="007C0C8A"/>
    <w:p w14:paraId="7978C478" w14:textId="6EF222DB" w:rsidR="007B3A8B" w:rsidRDefault="007B3A8B" w:rsidP="007C0C8A"/>
    <w:p w14:paraId="50041B96" w14:textId="212D6E66" w:rsidR="007B3A8B" w:rsidRPr="007C0C8A" w:rsidRDefault="007B3A8B" w:rsidP="007C0C8A"/>
    <w:sectPr w:rsidR="007B3A8B" w:rsidRPr="007C0C8A" w:rsidSect="008926CE">
      <w:pgSz w:w="11906" w:h="16838"/>
      <w:pgMar w:top="1276" w:right="1274" w:bottom="1418"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1B2C89" w14:textId="77777777" w:rsidR="003651F4" w:rsidRDefault="003651F4">
      <w:pPr>
        <w:spacing w:line="240" w:lineRule="auto"/>
      </w:pPr>
      <w:r>
        <w:separator/>
      </w:r>
    </w:p>
  </w:endnote>
  <w:endnote w:type="continuationSeparator" w:id="0">
    <w:p w14:paraId="23476420" w14:textId="77777777" w:rsidR="003651F4" w:rsidRDefault="003651F4">
      <w:pPr>
        <w:spacing w:line="240" w:lineRule="auto"/>
      </w:pPr>
      <w:r>
        <w:continuationSeparator/>
      </w:r>
    </w:p>
  </w:endnote>
  <w:endnote w:type="continuationNotice" w:id="1">
    <w:p w14:paraId="0DD6B63B" w14:textId="77777777" w:rsidR="003651F4" w:rsidRDefault="003651F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alibri"/>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Times Regular">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Quire Sans">
    <w:charset w:val="00"/>
    <w:family w:val="swiss"/>
    <w:pitch w:val="variable"/>
    <w:sig w:usb0="A11526FF" w:usb1="8000000A" w:usb2="00010000" w:usb3="00000000" w:csb0="0000019F" w:csb1="00000000"/>
  </w:font>
  <w:font w:name="Times New Roman (Body CS)">
    <w:altName w:val="Times New Roman"/>
    <w:charset w:val="00"/>
    <w:family w:val="roman"/>
    <w:pitch w:val="variable"/>
    <w:sig w:usb0="E0002AEF" w:usb1="C0007841" w:usb2="00000009" w:usb3="00000000" w:csb0="000001FF" w:csb1="00000000"/>
  </w:font>
  <w:font w:name="Heebo">
    <w:charset w:val="B1"/>
    <w:family w:val="auto"/>
    <w:pitch w:val="variable"/>
    <w:sig w:usb0="A00008E7" w:usb1="40000043" w:usb2="00000000" w:usb3="00000000" w:csb0="00000021" w:csb1="00000000"/>
  </w:font>
  <w:font w:name="Segoe UI Emoji">
    <w:panose1 w:val="020B0502040204020203"/>
    <w:charset w:val="00"/>
    <w:family w:val="swiss"/>
    <w:pitch w:val="variable"/>
    <w:sig w:usb0="00000003" w:usb1="02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808080" w:themeColor="background1" w:themeShade="80"/>
      </w:rPr>
      <w:id w:val="818544870"/>
      <w:docPartObj>
        <w:docPartGallery w:val="Page Numbers (Bottom of Page)"/>
        <w:docPartUnique/>
      </w:docPartObj>
    </w:sdtPr>
    <w:sdtEndPr>
      <w:rPr>
        <w:rFonts w:ascii="Century Gothic" w:hAnsi="Century Gothic"/>
        <w:sz w:val="16"/>
        <w:szCs w:val="16"/>
      </w:rPr>
    </w:sdtEndPr>
    <w:sdtContent>
      <w:sdt>
        <w:sdtPr>
          <w:rPr>
            <w:rFonts w:ascii="Century Gothic" w:hAnsi="Century Gothic"/>
            <w:color w:val="808080" w:themeColor="background1" w:themeShade="80"/>
            <w:sz w:val="16"/>
            <w:szCs w:val="16"/>
          </w:rPr>
          <w:id w:val="-1769616900"/>
          <w:docPartObj>
            <w:docPartGallery w:val="Page Numbers (Top of Page)"/>
            <w:docPartUnique/>
          </w:docPartObj>
        </w:sdtPr>
        <w:sdtContent>
          <w:p w14:paraId="3B604AE8" w14:textId="55CF9A74" w:rsidR="004923D5" w:rsidRPr="003F44C3" w:rsidRDefault="004923D5">
            <w:pPr>
              <w:pStyle w:val="Footer"/>
              <w:jc w:val="right"/>
              <w:rPr>
                <w:rFonts w:ascii="Century Gothic" w:hAnsi="Century Gothic"/>
                <w:color w:val="808080" w:themeColor="background1" w:themeShade="80"/>
                <w:sz w:val="16"/>
                <w:szCs w:val="16"/>
              </w:rPr>
            </w:pPr>
            <w:r w:rsidRPr="003F44C3">
              <w:rPr>
                <w:rFonts w:ascii="Century Gothic" w:hAnsi="Century Gothic"/>
                <w:color w:val="808080" w:themeColor="background1" w:themeShade="80"/>
                <w:sz w:val="16"/>
                <w:szCs w:val="16"/>
              </w:rPr>
              <w:t xml:space="preserve">Page </w:t>
            </w:r>
            <w:r w:rsidRPr="003F44C3">
              <w:rPr>
                <w:rFonts w:ascii="Century Gothic" w:hAnsi="Century Gothic"/>
                <w:b/>
                <w:bCs/>
                <w:color w:val="808080" w:themeColor="background1" w:themeShade="80"/>
              </w:rPr>
              <w:fldChar w:fldCharType="begin"/>
            </w:r>
            <w:r w:rsidRPr="003F44C3">
              <w:rPr>
                <w:rFonts w:ascii="Century Gothic" w:hAnsi="Century Gothic"/>
                <w:b/>
                <w:bCs/>
                <w:color w:val="808080" w:themeColor="background1" w:themeShade="80"/>
                <w:sz w:val="16"/>
                <w:szCs w:val="16"/>
              </w:rPr>
              <w:instrText xml:space="preserve"> PAGE </w:instrText>
            </w:r>
            <w:r w:rsidRPr="003F44C3">
              <w:rPr>
                <w:rFonts w:ascii="Century Gothic" w:hAnsi="Century Gothic"/>
                <w:b/>
                <w:bCs/>
                <w:color w:val="808080" w:themeColor="background1" w:themeShade="80"/>
              </w:rPr>
              <w:fldChar w:fldCharType="separate"/>
            </w:r>
            <w:r w:rsidRPr="003F44C3">
              <w:rPr>
                <w:rFonts w:ascii="Century Gothic" w:hAnsi="Century Gothic"/>
                <w:b/>
                <w:bCs/>
                <w:noProof/>
                <w:color w:val="808080" w:themeColor="background1" w:themeShade="80"/>
                <w:sz w:val="16"/>
                <w:szCs w:val="16"/>
              </w:rPr>
              <w:t>2</w:t>
            </w:r>
            <w:r w:rsidRPr="003F44C3">
              <w:rPr>
                <w:rFonts w:ascii="Century Gothic" w:hAnsi="Century Gothic"/>
                <w:b/>
                <w:bCs/>
                <w:color w:val="808080" w:themeColor="background1" w:themeShade="80"/>
              </w:rPr>
              <w:fldChar w:fldCharType="end"/>
            </w:r>
            <w:r w:rsidRPr="003F44C3">
              <w:rPr>
                <w:rFonts w:ascii="Century Gothic" w:hAnsi="Century Gothic"/>
                <w:color w:val="808080" w:themeColor="background1" w:themeShade="80"/>
                <w:sz w:val="16"/>
                <w:szCs w:val="16"/>
              </w:rPr>
              <w:t xml:space="preserve"> of </w:t>
            </w:r>
            <w:r w:rsidRPr="003F44C3">
              <w:rPr>
                <w:rFonts w:ascii="Century Gothic" w:hAnsi="Century Gothic"/>
                <w:b/>
                <w:bCs/>
                <w:color w:val="808080" w:themeColor="background1" w:themeShade="80"/>
              </w:rPr>
              <w:fldChar w:fldCharType="begin"/>
            </w:r>
            <w:r w:rsidRPr="003F44C3">
              <w:rPr>
                <w:rFonts w:ascii="Century Gothic" w:hAnsi="Century Gothic"/>
                <w:b/>
                <w:bCs/>
                <w:color w:val="808080" w:themeColor="background1" w:themeShade="80"/>
                <w:sz w:val="16"/>
                <w:szCs w:val="16"/>
              </w:rPr>
              <w:instrText xml:space="preserve"> NUMPAGES  </w:instrText>
            </w:r>
            <w:r w:rsidRPr="003F44C3">
              <w:rPr>
                <w:rFonts w:ascii="Century Gothic" w:hAnsi="Century Gothic"/>
                <w:b/>
                <w:bCs/>
                <w:color w:val="808080" w:themeColor="background1" w:themeShade="80"/>
              </w:rPr>
              <w:fldChar w:fldCharType="separate"/>
            </w:r>
            <w:r w:rsidRPr="003F44C3">
              <w:rPr>
                <w:rFonts w:ascii="Century Gothic" w:hAnsi="Century Gothic"/>
                <w:b/>
                <w:bCs/>
                <w:noProof/>
                <w:color w:val="808080" w:themeColor="background1" w:themeShade="80"/>
                <w:sz w:val="16"/>
                <w:szCs w:val="16"/>
              </w:rPr>
              <w:t>2</w:t>
            </w:r>
            <w:r w:rsidRPr="003F44C3">
              <w:rPr>
                <w:rFonts w:ascii="Century Gothic" w:hAnsi="Century Gothic"/>
                <w:b/>
                <w:bCs/>
                <w:color w:val="808080" w:themeColor="background1" w:themeShade="80"/>
              </w:rPr>
              <w:fldChar w:fldCharType="end"/>
            </w:r>
          </w:p>
        </w:sdtContent>
      </w:sdt>
    </w:sdtContent>
  </w:sdt>
  <w:p w14:paraId="79F66B0B" w14:textId="387C3C38" w:rsidR="008F3E49" w:rsidRPr="003F44C3" w:rsidRDefault="004923D5" w:rsidP="004923D5">
    <w:pPr>
      <w:tabs>
        <w:tab w:val="left" w:pos="3930"/>
      </w:tabs>
      <w:rPr>
        <w:rFonts w:ascii="Century Gothic" w:hAnsi="Century Gothic"/>
        <w:color w:val="000000" w:themeColor="text1"/>
        <w:sz w:val="14"/>
        <w:szCs w:val="14"/>
        <w:lang w:val="en-US"/>
      </w:rPr>
    </w:pPr>
    <w:r w:rsidRPr="003F44C3">
      <w:rPr>
        <w:rFonts w:ascii="Century Gothic" w:hAnsi="Century Gothic"/>
        <w:color w:val="000000" w:themeColor="text1"/>
        <w:sz w:val="14"/>
        <w:szCs w:val="14"/>
        <w:lang w:val="en-US"/>
      </w:rPr>
      <w:t>Municipal Wheeling Guideline for allowing third-party access to the municipal electrical network.</w:t>
    </w:r>
    <w:r w:rsidR="003F44C3" w:rsidRPr="003F44C3">
      <w:rPr>
        <w:rFonts w:ascii="Century Gothic" w:hAnsi="Century Gothic"/>
        <w:color w:val="000000" w:themeColor="text1"/>
        <w:sz w:val="14"/>
        <w:szCs w:val="14"/>
        <w:lang w:val="en-US"/>
      </w:rPr>
      <w:t xml:space="preserve"> Version 1 September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97142D" w14:textId="77777777" w:rsidR="003651F4" w:rsidRDefault="003651F4">
      <w:pPr>
        <w:spacing w:line="240" w:lineRule="auto"/>
      </w:pPr>
      <w:r>
        <w:separator/>
      </w:r>
    </w:p>
  </w:footnote>
  <w:footnote w:type="continuationSeparator" w:id="0">
    <w:p w14:paraId="06F92303" w14:textId="77777777" w:rsidR="003651F4" w:rsidRDefault="003651F4">
      <w:pPr>
        <w:spacing w:line="240" w:lineRule="auto"/>
      </w:pPr>
      <w:r>
        <w:continuationSeparator/>
      </w:r>
    </w:p>
  </w:footnote>
  <w:footnote w:type="continuationNotice" w:id="1">
    <w:p w14:paraId="6A0EDDAE" w14:textId="77777777" w:rsidR="003651F4" w:rsidRDefault="003651F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454A6" w14:textId="14007501" w:rsidR="008F3E49" w:rsidRDefault="00F111BE">
    <w:pPr>
      <w:pBdr>
        <w:top w:val="nil"/>
        <w:left w:val="nil"/>
        <w:bottom w:val="nil"/>
        <w:right w:val="nil"/>
        <w:between w:val="nil"/>
      </w:pBdr>
      <w:tabs>
        <w:tab w:val="center" w:pos="4320"/>
        <w:tab w:val="right" w:pos="8640"/>
      </w:tabs>
      <w:rPr>
        <w:color w:val="000000"/>
      </w:rPr>
    </w:pPr>
    <w:r>
      <w:rPr>
        <w:noProof/>
        <w:color w:val="000000"/>
      </w:rPr>
      <w:drawing>
        <wp:anchor distT="0" distB="0" distL="114300" distR="114300" simplePos="0" relativeHeight="251658240" behindDoc="1" locked="0" layoutInCell="1" allowOverlap="1" wp14:anchorId="161A0A9D" wp14:editId="0FDFD9D3">
          <wp:simplePos x="0" y="0"/>
          <wp:positionH relativeFrom="margin">
            <wp:align>center</wp:align>
          </wp:positionH>
          <wp:positionV relativeFrom="margin">
            <wp:align>center</wp:align>
          </wp:positionV>
          <wp:extent cx="6929120" cy="9801225"/>
          <wp:effectExtent l="0" t="0" r="0" b="0"/>
          <wp:wrapNone/>
          <wp:docPr id="6" name="Picture 6"/>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0" name="WordPictureWatermark1"/>
                  <pic:cNvPicPr>
                    <a:picLocks noGrp="1" noRot="1" noChangeAspect="1" noResize="1" noEditPoints="1" noAdjustHandles="1" noChangeArrowheads="1" noChangeShapeType="1" noCrop="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29120" cy="980122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B0034"/>
    <w:multiLevelType w:val="hybridMultilevel"/>
    <w:tmpl w:val="4942F95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20CC73E"/>
    <w:multiLevelType w:val="hybridMultilevel"/>
    <w:tmpl w:val="FFFFFFFF"/>
    <w:lvl w:ilvl="0" w:tplc="FFFFFFFF">
      <w:start w:val="1"/>
      <w:numFmt w:val="bullet"/>
      <w:lvlText w:val=""/>
      <w:lvlJc w:val="left"/>
      <w:pPr>
        <w:ind w:left="720" w:hanging="360"/>
      </w:pPr>
      <w:rPr>
        <w:rFonts w:ascii="Symbol" w:hAnsi="Symbol" w:hint="default"/>
      </w:rPr>
    </w:lvl>
    <w:lvl w:ilvl="1" w:tplc="53EA9AE2">
      <w:start w:val="1"/>
      <w:numFmt w:val="bullet"/>
      <w:lvlText w:val="o"/>
      <w:lvlJc w:val="left"/>
      <w:pPr>
        <w:ind w:left="1440" w:hanging="360"/>
      </w:pPr>
      <w:rPr>
        <w:rFonts w:ascii="Courier New" w:hAnsi="Courier New" w:hint="default"/>
      </w:rPr>
    </w:lvl>
    <w:lvl w:ilvl="2" w:tplc="50DECE2E">
      <w:start w:val="1"/>
      <w:numFmt w:val="bullet"/>
      <w:lvlText w:val=""/>
      <w:lvlJc w:val="left"/>
      <w:pPr>
        <w:ind w:left="2160" w:hanging="360"/>
      </w:pPr>
      <w:rPr>
        <w:rFonts w:ascii="Wingdings" w:hAnsi="Wingdings" w:hint="default"/>
      </w:rPr>
    </w:lvl>
    <w:lvl w:ilvl="3" w:tplc="648CEA20">
      <w:start w:val="1"/>
      <w:numFmt w:val="bullet"/>
      <w:lvlText w:val=""/>
      <w:lvlJc w:val="left"/>
      <w:pPr>
        <w:ind w:left="2880" w:hanging="360"/>
      </w:pPr>
      <w:rPr>
        <w:rFonts w:ascii="Symbol" w:hAnsi="Symbol" w:hint="default"/>
      </w:rPr>
    </w:lvl>
    <w:lvl w:ilvl="4" w:tplc="4C061432">
      <w:start w:val="1"/>
      <w:numFmt w:val="bullet"/>
      <w:lvlText w:val="o"/>
      <w:lvlJc w:val="left"/>
      <w:pPr>
        <w:ind w:left="3600" w:hanging="360"/>
      </w:pPr>
      <w:rPr>
        <w:rFonts w:ascii="Courier New" w:hAnsi="Courier New" w:hint="default"/>
      </w:rPr>
    </w:lvl>
    <w:lvl w:ilvl="5" w:tplc="19A05A84">
      <w:start w:val="1"/>
      <w:numFmt w:val="bullet"/>
      <w:lvlText w:val=""/>
      <w:lvlJc w:val="left"/>
      <w:pPr>
        <w:ind w:left="4320" w:hanging="360"/>
      </w:pPr>
      <w:rPr>
        <w:rFonts w:ascii="Wingdings" w:hAnsi="Wingdings" w:hint="default"/>
      </w:rPr>
    </w:lvl>
    <w:lvl w:ilvl="6" w:tplc="D7182EAA">
      <w:start w:val="1"/>
      <w:numFmt w:val="bullet"/>
      <w:lvlText w:val=""/>
      <w:lvlJc w:val="left"/>
      <w:pPr>
        <w:ind w:left="5040" w:hanging="360"/>
      </w:pPr>
      <w:rPr>
        <w:rFonts w:ascii="Symbol" w:hAnsi="Symbol" w:hint="default"/>
      </w:rPr>
    </w:lvl>
    <w:lvl w:ilvl="7" w:tplc="83D27C80">
      <w:start w:val="1"/>
      <w:numFmt w:val="bullet"/>
      <w:lvlText w:val="o"/>
      <w:lvlJc w:val="left"/>
      <w:pPr>
        <w:ind w:left="5760" w:hanging="360"/>
      </w:pPr>
      <w:rPr>
        <w:rFonts w:ascii="Courier New" w:hAnsi="Courier New" w:hint="default"/>
      </w:rPr>
    </w:lvl>
    <w:lvl w:ilvl="8" w:tplc="B806511E">
      <w:start w:val="1"/>
      <w:numFmt w:val="bullet"/>
      <w:lvlText w:val=""/>
      <w:lvlJc w:val="left"/>
      <w:pPr>
        <w:ind w:left="6480" w:hanging="360"/>
      </w:pPr>
      <w:rPr>
        <w:rFonts w:ascii="Wingdings" w:hAnsi="Wingdings" w:hint="default"/>
      </w:rPr>
    </w:lvl>
  </w:abstractNum>
  <w:abstractNum w:abstractNumId="2" w15:restartNumberingAfterBreak="0">
    <w:nsid w:val="02DD17B3"/>
    <w:multiLevelType w:val="multilevel"/>
    <w:tmpl w:val="6490474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35346E9"/>
    <w:multiLevelType w:val="multilevel"/>
    <w:tmpl w:val="1848D1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57621E4"/>
    <w:multiLevelType w:val="hybridMultilevel"/>
    <w:tmpl w:val="D6C0246C"/>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 w15:restartNumberingAfterBreak="0">
    <w:nsid w:val="05FD76C8"/>
    <w:multiLevelType w:val="hybridMultilevel"/>
    <w:tmpl w:val="99003378"/>
    <w:lvl w:ilvl="0" w:tplc="1C090001">
      <w:start w:val="1"/>
      <w:numFmt w:val="bullet"/>
      <w:lvlText w:val=""/>
      <w:lvlJc w:val="left"/>
      <w:pPr>
        <w:ind w:left="1080" w:hanging="720"/>
      </w:pPr>
      <w:rPr>
        <w:rFonts w:ascii="Symbol" w:hAnsi="Symbol" w:hint="default"/>
      </w:rPr>
    </w:lvl>
    <w:lvl w:ilvl="1" w:tplc="01602856">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7BA1540"/>
    <w:multiLevelType w:val="hybridMultilevel"/>
    <w:tmpl w:val="E21E3402"/>
    <w:lvl w:ilvl="0" w:tplc="FFFFFFFF">
      <w:start w:val="1"/>
      <w:numFmt w:val="bullet"/>
      <w:lvlText w:val="o"/>
      <w:lvlJc w:val="left"/>
      <w:pPr>
        <w:ind w:left="720" w:hanging="360"/>
      </w:pPr>
      <w:rPr>
        <w:rFonts w:ascii="Courier New" w:hAnsi="Courier New" w:cs="Courier New" w:hint="default"/>
      </w:rPr>
    </w:lvl>
    <w:lvl w:ilvl="1" w:tplc="DC704FDE">
      <w:start w:val="1"/>
      <w:numFmt w:val="bullet"/>
      <w:lvlText w:val="-"/>
      <w:lvlJc w:val="left"/>
      <w:pPr>
        <w:ind w:left="1440" w:hanging="360"/>
      </w:pPr>
      <w:rPr>
        <w:rFonts w:ascii="Century Gothic" w:hAnsi="Century Gothic"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8000BFE"/>
    <w:multiLevelType w:val="hybridMultilevel"/>
    <w:tmpl w:val="8ED63432"/>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8" w15:restartNumberingAfterBreak="0">
    <w:nsid w:val="09897769"/>
    <w:multiLevelType w:val="multilevel"/>
    <w:tmpl w:val="AE2C4C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0E5D49FA"/>
    <w:multiLevelType w:val="multilevel"/>
    <w:tmpl w:val="6490474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EA45F17"/>
    <w:multiLevelType w:val="multilevel"/>
    <w:tmpl w:val="48CC3EC6"/>
    <w:lvl w:ilvl="0">
      <w:start w:val="1"/>
      <w:numFmt w:val="bullet"/>
      <w:lvlText w:val=""/>
      <w:lvlJc w:val="left"/>
      <w:pPr>
        <w:tabs>
          <w:tab w:val="num" w:pos="720"/>
        </w:tabs>
        <w:ind w:left="720" w:hanging="360"/>
      </w:pPr>
      <w:rPr>
        <w:rFonts w:ascii="Wingdings" w:hAnsi="Wingdings" w:hint="default"/>
        <w:sz w:val="20"/>
      </w:rPr>
    </w:lvl>
    <w:lvl w:ilvl="1">
      <w:start w:val="6"/>
      <w:numFmt w:val="bullet"/>
      <w:lvlText w:val="-"/>
      <w:lvlJc w:val="left"/>
      <w:pPr>
        <w:ind w:left="1440" w:hanging="360"/>
      </w:pPr>
      <w:rPr>
        <w:rFonts w:ascii="Courier New" w:eastAsiaTheme="minorHAnsi" w:hAnsi="Courier New" w:cstheme="minorBidi" w:hint="default"/>
      </w:rPr>
    </w:lvl>
    <w:lvl w:ilvl="2">
      <w:start w:val="6"/>
      <w:numFmt w:val="bullet"/>
      <w:lvlText w:val="-"/>
      <w:lvlJc w:val="left"/>
      <w:pPr>
        <w:ind w:left="2160" w:hanging="360"/>
      </w:pPr>
      <w:rPr>
        <w:rFonts w:ascii="Courier New" w:eastAsiaTheme="minorHAnsi" w:hAnsi="Courier New" w:cstheme="minorBid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EDA69D5"/>
    <w:multiLevelType w:val="hybridMultilevel"/>
    <w:tmpl w:val="ED4ADC96"/>
    <w:lvl w:ilvl="0" w:tplc="FFFFFFFF">
      <w:start w:val="1"/>
      <w:numFmt w:val="bullet"/>
      <w:lvlText w:val=""/>
      <w:lvlJc w:val="left"/>
      <w:pPr>
        <w:ind w:left="720" w:hanging="360"/>
      </w:pPr>
      <w:rPr>
        <w:rFonts w:ascii="Symbol" w:hAnsi="Symbol" w:hint="default"/>
      </w:rPr>
    </w:lvl>
    <w:lvl w:ilvl="1" w:tplc="BBEE3034">
      <w:start w:val="1"/>
      <w:numFmt w:val="bullet"/>
      <w:lvlText w:val="o"/>
      <w:lvlJc w:val="left"/>
      <w:pPr>
        <w:ind w:left="1440" w:hanging="360"/>
      </w:pPr>
      <w:rPr>
        <w:rFonts w:ascii="Courier New" w:hAnsi="Courier New" w:hint="default"/>
        <w:color w:val="auto"/>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2" w15:restartNumberingAfterBreak="0">
    <w:nsid w:val="0FE02FF0"/>
    <w:multiLevelType w:val="multilevel"/>
    <w:tmpl w:val="6490474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01A658B"/>
    <w:multiLevelType w:val="hybridMultilevel"/>
    <w:tmpl w:val="BEE60A4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104C5B34"/>
    <w:multiLevelType w:val="multilevel"/>
    <w:tmpl w:val="6CBCC4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11D009E7"/>
    <w:multiLevelType w:val="hybridMultilevel"/>
    <w:tmpl w:val="273C70E4"/>
    <w:lvl w:ilvl="0" w:tplc="1C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1DC497C"/>
    <w:multiLevelType w:val="hybridMultilevel"/>
    <w:tmpl w:val="A38483A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7" w15:restartNumberingAfterBreak="0">
    <w:nsid w:val="13B36CE3"/>
    <w:multiLevelType w:val="hybridMultilevel"/>
    <w:tmpl w:val="244AAAE6"/>
    <w:lvl w:ilvl="0" w:tplc="1C090001">
      <w:start w:val="1"/>
      <w:numFmt w:val="bullet"/>
      <w:lvlText w:val=""/>
      <w:lvlJc w:val="left"/>
      <w:pPr>
        <w:ind w:left="361" w:hanging="720"/>
      </w:pPr>
      <w:rPr>
        <w:rFonts w:ascii="Symbol" w:hAnsi="Symbol" w:hint="default"/>
      </w:rPr>
    </w:lvl>
    <w:lvl w:ilvl="1" w:tplc="FFFFFFFF">
      <w:start w:val="1"/>
      <w:numFmt w:val="bullet"/>
      <w:lvlText w:val="o"/>
      <w:lvlJc w:val="left"/>
      <w:pPr>
        <w:ind w:left="721" w:hanging="360"/>
      </w:pPr>
      <w:rPr>
        <w:rFonts w:ascii="Courier New" w:hAnsi="Courier New" w:cs="Courier New" w:hint="default"/>
      </w:rPr>
    </w:lvl>
    <w:lvl w:ilvl="2" w:tplc="FFFFFFFF" w:tentative="1">
      <w:start w:val="1"/>
      <w:numFmt w:val="bullet"/>
      <w:lvlText w:val=""/>
      <w:lvlJc w:val="left"/>
      <w:pPr>
        <w:ind w:left="1441" w:hanging="360"/>
      </w:pPr>
      <w:rPr>
        <w:rFonts w:ascii="Wingdings" w:hAnsi="Wingdings" w:hint="default"/>
      </w:rPr>
    </w:lvl>
    <w:lvl w:ilvl="3" w:tplc="FFFFFFFF" w:tentative="1">
      <w:start w:val="1"/>
      <w:numFmt w:val="bullet"/>
      <w:lvlText w:val=""/>
      <w:lvlJc w:val="left"/>
      <w:pPr>
        <w:ind w:left="2161" w:hanging="360"/>
      </w:pPr>
      <w:rPr>
        <w:rFonts w:ascii="Symbol" w:hAnsi="Symbol" w:hint="default"/>
      </w:rPr>
    </w:lvl>
    <w:lvl w:ilvl="4" w:tplc="FFFFFFFF" w:tentative="1">
      <w:start w:val="1"/>
      <w:numFmt w:val="bullet"/>
      <w:lvlText w:val="o"/>
      <w:lvlJc w:val="left"/>
      <w:pPr>
        <w:ind w:left="2881" w:hanging="360"/>
      </w:pPr>
      <w:rPr>
        <w:rFonts w:ascii="Courier New" w:hAnsi="Courier New" w:cs="Courier New" w:hint="default"/>
      </w:rPr>
    </w:lvl>
    <w:lvl w:ilvl="5" w:tplc="FFFFFFFF" w:tentative="1">
      <w:start w:val="1"/>
      <w:numFmt w:val="bullet"/>
      <w:lvlText w:val=""/>
      <w:lvlJc w:val="left"/>
      <w:pPr>
        <w:ind w:left="3601" w:hanging="360"/>
      </w:pPr>
      <w:rPr>
        <w:rFonts w:ascii="Wingdings" w:hAnsi="Wingdings" w:hint="default"/>
      </w:rPr>
    </w:lvl>
    <w:lvl w:ilvl="6" w:tplc="FFFFFFFF" w:tentative="1">
      <w:start w:val="1"/>
      <w:numFmt w:val="bullet"/>
      <w:lvlText w:val=""/>
      <w:lvlJc w:val="left"/>
      <w:pPr>
        <w:ind w:left="4321" w:hanging="360"/>
      </w:pPr>
      <w:rPr>
        <w:rFonts w:ascii="Symbol" w:hAnsi="Symbol" w:hint="default"/>
      </w:rPr>
    </w:lvl>
    <w:lvl w:ilvl="7" w:tplc="FFFFFFFF" w:tentative="1">
      <w:start w:val="1"/>
      <w:numFmt w:val="bullet"/>
      <w:lvlText w:val="o"/>
      <w:lvlJc w:val="left"/>
      <w:pPr>
        <w:ind w:left="5041" w:hanging="360"/>
      </w:pPr>
      <w:rPr>
        <w:rFonts w:ascii="Courier New" w:hAnsi="Courier New" w:cs="Courier New" w:hint="default"/>
      </w:rPr>
    </w:lvl>
    <w:lvl w:ilvl="8" w:tplc="FFFFFFFF" w:tentative="1">
      <w:start w:val="1"/>
      <w:numFmt w:val="bullet"/>
      <w:lvlText w:val=""/>
      <w:lvlJc w:val="left"/>
      <w:pPr>
        <w:ind w:left="5761" w:hanging="360"/>
      </w:pPr>
      <w:rPr>
        <w:rFonts w:ascii="Wingdings" w:hAnsi="Wingdings" w:hint="default"/>
      </w:rPr>
    </w:lvl>
  </w:abstractNum>
  <w:abstractNum w:abstractNumId="18" w15:restartNumberingAfterBreak="0">
    <w:nsid w:val="14BD3C03"/>
    <w:multiLevelType w:val="multilevel"/>
    <w:tmpl w:val="64A20B9C"/>
    <w:lvl w:ilvl="0">
      <w:start w:val="1"/>
      <w:numFmt w:val="bullet"/>
      <w:lvlText w:val="o"/>
      <w:lvlJc w:val="left"/>
      <w:pPr>
        <w:ind w:left="360" w:hanging="360"/>
      </w:pPr>
      <w:rPr>
        <w:rFonts w:ascii="Courier New" w:hAnsi="Courier New" w:cs="Courier New"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16014A85"/>
    <w:multiLevelType w:val="multilevel"/>
    <w:tmpl w:val="12E40814"/>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0" w15:restartNumberingAfterBreak="0">
    <w:nsid w:val="17793888"/>
    <w:multiLevelType w:val="hybridMultilevel"/>
    <w:tmpl w:val="16C606B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1" w15:restartNumberingAfterBreak="0">
    <w:nsid w:val="19102D35"/>
    <w:multiLevelType w:val="hybridMultilevel"/>
    <w:tmpl w:val="200830C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2" w15:restartNumberingAfterBreak="0">
    <w:nsid w:val="19F6300E"/>
    <w:multiLevelType w:val="hybridMultilevel"/>
    <w:tmpl w:val="9B4C3CB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3" w15:restartNumberingAfterBreak="0">
    <w:nsid w:val="1B304085"/>
    <w:multiLevelType w:val="multilevel"/>
    <w:tmpl w:val="D5D01C4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4" w15:restartNumberingAfterBreak="0">
    <w:nsid w:val="1BB40903"/>
    <w:multiLevelType w:val="hybridMultilevel"/>
    <w:tmpl w:val="EA707A2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1BC92335"/>
    <w:multiLevelType w:val="hybridMultilevel"/>
    <w:tmpl w:val="2748417E"/>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 w15:restartNumberingAfterBreak="0">
    <w:nsid w:val="1BF54DC7"/>
    <w:multiLevelType w:val="multilevel"/>
    <w:tmpl w:val="3CD66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0BE4067"/>
    <w:multiLevelType w:val="hybridMultilevel"/>
    <w:tmpl w:val="C1D2171A"/>
    <w:lvl w:ilvl="0" w:tplc="1C090001">
      <w:start w:val="1"/>
      <w:numFmt w:val="bullet"/>
      <w:lvlText w:val=""/>
      <w:lvlJc w:val="left"/>
      <w:pPr>
        <w:ind w:left="1069" w:hanging="360"/>
      </w:pPr>
      <w:rPr>
        <w:rFonts w:ascii="Symbol" w:hAnsi="Symbol" w:hint="default"/>
      </w:rPr>
    </w:lvl>
    <w:lvl w:ilvl="1" w:tplc="1C090003">
      <w:start w:val="1"/>
      <w:numFmt w:val="bullet"/>
      <w:lvlText w:val="o"/>
      <w:lvlJc w:val="left"/>
      <w:pPr>
        <w:ind w:left="1789" w:hanging="360"/>
      </w:pPr>
      <w:rPr>
        <w:rFonts w:ascii="Courier New" w:hAnsi="Courier New" w:cs="Courier New" w:hint="default"/>
      </w:rPr>
    </w:lvl>
    <w:lvl w:ilvl="2" w:tplc="1C090005" w:tentative="1">
      <w:start w:val="1"/>
      <w:numFmt w:val="bullet"/>
      <w:lvlText w:val=""/>
      <w:lvlJc w:val="left"/>
      <w:pPr>
        <w:ind w:left="2509" w:hanging="360"/>
      </w:pPr>
      <w:rPr>
        <w:rFonts w:ascii="Wingdings" w:hAnsi="Wingdings" w:hint="default"/>
      </w:rPr>
    </w:lvl>
    <w:lvl w:ilvl="3" w:tplc="1C090001" w:tentative="1">
      <w:start w:val="1"/>
      <w:numFmt w:val="bullet"/>
      <w:lvlText w:val=""/>
      <w:lvlJc w:val="left"/>
      <w:pPr>
        <w:ind w:left="3229" w:hanging="360"/>
      </w:pPr>
      <w:rPr>
        <w:rFonts w:ascii="Symbol" w:hAnsi="Symbol" w:hint="default"/>
      </w:rPr>
    </w:lvl>
    <w:lvl w:ilvl="4" w:tplc="1C090003" w:tentative="1">
      <w:start w:val="1"/>
      <w:numFmt w:val="bullet"/>
      <w:lvlText w:val="o"/>
      <w:lvlJc w:val="left"/>
      <w:pPr>
        <w:ind w:left="3949" w:hanging="360"/>
      </w:pPr>
      <w:rPr>
        <w:rFonts w:ascii="Courier New" w:hAnsi="Courier New" w:cs="Courier New" w:hint="default"/>
      </w:rPr>
    </w:lvl>
    <w:lvl w:ilvl="5" w:tplc="1C090005" w:tentative="1">
      <w:start w:val="1"/>
      <w:numFmt w:val="bullet"/>
      <w:lvlText w:val=""/>
      <w:lvlJc w:val="left"/>
      <w:pPr>
        <w:ind w:left="4669" w:hanging="360"/>
      </w:pPr>
      <w:rPr>
        <w:rFonts w:ascii="Wingdings" w:hAnsi="Wingdings" w:hint="default"/>
      </w:rPr>
    </w:lvl>
    <w:lvl w:ilvl="6" w:tplc="1C090001" w:tentative="1">
      <w:start w:val="1"/>
      <w:numFmt w:val="bullet"/>
      <w:lvlText w:val=""/>
      <w:lvlJc w:val="left"/>
      <w:pPr>
        <w:ind w:left="5389" w:hanging="360"/>
      </w:pPr>
      <w:rPr>
        <w:rFonts w:ascii="Symbol" w:hAnsi="Symbol" w:hint="default"/>
      </w:rPr>
    </w:lvl>
    <w:lvl w:ilvl="7" w:tplc="1C090003" w:tentative="1">
      <w:start w:val="1"/>
      <w:numFmt w:val="bullet"/>
      <w:lvlText w:val="o"/>
      <w:lvlJc w:val="left"/>
      <w:pPr>
        <w:ind w:left="6109" w:hanging="360"/>
      </w:pPr>
      <w:rPr>
        <w:rFonts w:ascii="Courier New" w:hAnsi="Courier New" w:cs="Courier New" w:hint="default"/>
      </w:rPr>
    </w:lvl>
    <w:lvl w:ilvl="8" w:tplc="1C090005" w:tentative="1">
      <w:start w:val="1"/>
      <w:numFmt w:val="bullet"/>
      <w:lvlText w:val=""/>
      <w:lvlJc w:val="left"/>
      <w:pPr>
        <w:ind w:left="6829" w:hanging="360"/>
      </w:pPr>
      <w:rPr>
        <w:rFonts w:ascii="Wingdings" w:hAnsi="Wingdings" w:hint="default"/>
      </w:rPr>
    </w:lvl>
  </w:abstractNum>
  <w:abstractNum w:abstractNumId="28" w15:restartNumberingAfterBreak="0">
    <w:nsid w:val="215D3016"/>
    <w:multiLevelType w:val="hybridMultilevel"/>
    <w:tmpl w:val="03E83030"/>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21AB5800"/>
    <w:multiLevelType w:val="multilevel"/>
    <w:tmpl w:val="6490474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259342A9"/>
    <w:multiLevelType w:val="hybridMultilevel"/>
    <w:tmpl w:val="333617AA"/>
    <w:lvl w:ilvl="0" w:tplc="FFFFFFFF">
      <w:start w:val="1"/>
      <w:numFmt w:val="bullet"/>
      <w:lvlText w:val=""/>
      <w:lvlJc w:val="left"/>
      <w:pPr>
        <w:ind w:left="1080" w:hanging="360"/>
      </w:pPr>
      <w:rPr>
        <w:rFonts w:ascii="Symbol" w:hAnsi="Symbol" w:hint="default"/>
      </w:rPr>
    </w:lvl>
    <w:lvl w:ilvl="1" w:tplc="DC704FDE">
      <w:start w:val="1"/>
      <w:numFmt w:val="bullet"/>
      <w:lvlText w:val="-"/>
      <w:lvlJc w:val="left"/>
      <w:pPr>
        <w:ind w:left="1800" w:hanging="360"/>
      </w:pPr>
      <w:rPr>
        <w:rFonts w:ascii="Century Gothic" w:hAnsi="Century Gothic"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1" w15:restartNumberingAfterBreak="0">
    <w:nsid w:val="28700BEA"/>
    <w:multiLevelType w:val="hybridMultilevel"/>
    <w:tmpl w:val="A434FB3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2" w15:restartNumberingAfterBreak="0">
    <w:nsid w:val="2C82361E"/>
    <w:multiLevelType w:val="multilevel"/>
    <w:tmpl w:val="125EF8CE"/>
    <w:lvl w:ilvl="0">
      <w:start w:val="1"/>
      <w:numFmt w:val="decimal"/>
      <w:pStyle w:val="Heading1"/>
      <w:lvlText w:val="%1."/>
      <w:lvlJc w:val="left"/>
      <w:pPr>
        <w:ind w:left="0" w:firstLine="0"/>
      </w:pPr>
    </w:lvl>
    <w:lvl w:ilvl="1">
      <w:start w:val="1"/>
      <w:numFmt w:val="decimal"/>
      <w:pStyle w:val="Heading2"/>
      <w:lvlText w:val="%1.%2."/>
      <w:lvlJc w:val="left"/>
      <w:pPr>
        <w:ind w:left="0" w:firstLine="0"/>
      </w:pPr>
    </w:lvl>
    <w:lvl w:ilvl="2">
      <w:start w:val="1"/>
      <w:numFmt w:val="decimal"/>
      <w:pStyle w:val="Heading3"/>
      <w:lvlText w:val="%1.%2.%3."/>
      <w:lvlJc w:val="left"/>
      <w:pPr>
        <w:ind w:left="0" w:firstLine="0"/>
      </w:pPr>
      <w:rPr>
        <w:rFonts w:ascii="Arial" w:eastAsia="Arial" w:hAnsi="Arial" w:cs="Arial"/>
        <w:sz w:val="20"/>
        <w:szCs w:val="20"/>
      </w:r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2E91299B"/>
    <w:multiLevelType w:val="multilevel"/>
    <w:tmpl w:val="C3182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F4E06FB"/>
    <w:multiLevelType w:val="multilevel"/>
    <w:tmpl w:val="FB522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01844E7"/>
    <w:multiLevelType w:val="hybridMultilevel"/>
    <w:tmpl w:val="3DA69D9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6" w15:restartNumberingAfterBreak="0">
    <w:nsid w:val="30CC50E8"/>
    <w:multiLevelType w:val="hybridMultilevel"/>
    <w:tmpl w:val="12BC171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7" w15:restartNumberingAfterBreak="0">
    <w:nsid w:val="334812C5"/>
    <w:multiLevelType w:val="multilevel"/>
    <w:tmpl w:val="AAD43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3FB5FF3"/>
    <w:multiLevelType w:val="multilevel"/>
    <w:tmpl w:val="95869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8554BEC"/>
    <w:multiLevelType w:val="hybridMultilevel"/>
    <w:tmpl w:val="ABF8FBB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0" w15:restartNumberingAfterBreak="0">
    <w:nsid w:val="39A071DC"/>
    <w:multiLevelType w:val="hybridMultilevel"/>
    <w:tmpl w:val="AD02BC1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15:restartNumberingAfterBreak="0">
    <w:nsid w:val="3BE17256"/>
    <w:multiLevelType w:val="hybridMultilevel"/>
    <w:tmpl w:val="AF84F8A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2" w15:restartNumberingAfterBreak="0">
    <w:nsid w:val="3F0C0304"/>
    <w:multiLevelType w:val="multilevel"/>
    <w:tmpl w:val="BE02DC3E"/>
    <w:lvl w:ilvl="0">
      <w:start w:val="1"/>
      <w:numFmt w:val="bullet"/>
      <w:pStyle w:val="DashedLis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40E71FEB"/>
    <w:multiLevelType w:val="hybridMultilevel"/>
    <w:tmpl w:val="51408EB4"/>
    <w:lvl w:ilvl="0" w:tplc="1C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4" w15:restartNumberingAfterBreak="0">
    <w:nsid w:val="412434FB"/>
    <w:multiLevelType w:val="multilevel"/>
    <w:tmpl w:val="8702F482"/>
    <w:lvl w:ilvl="0">
      <w:start w:val="1"/>
      <w:numFmt w:val="bullet"/>
      <w:lvlText w:val=""/>
      <w:lvlJc w:val="left"/>
      <w:pPr>
        <w:tabs>
          <w:tab w:val="num" w:pos="720"/>
        </w:tabs>
        <w:ind w:left="720" w:hanging="360"/>
      </w:pPr>
      <w:rPr>
        <w:rFonts w:ascii="Wingdings" w:hAnsi="Wingdings" w:hint="default"/>
        <w:sz w:val="20"/>
      </w:rPr>
    </w:lvl>
    <w:lvl w:ilvl="1">
      <w:start w:val="6"/>
      <w:numFmt w:val="bullet"/>
      <w:lvlText w:val="-"/>
      <w:lvlJc w:val="left"/>
      <w:pPr>
        <w:ind w:left="1440" w:hanging="360"/>
      </w:pPr>
      <w:rPr>
        <w:rFonts w:ascii="Courier New" w:eastAsiaTheme="minorHAnsi" w:hAnsi="Courier New" w:cstheme="minorBidi" w:hint="default"/>
      </w:rPr>
    </w:lvl>
    <w:lvl w:ilvl="2">
      <w:start w:val="6"/>
      <w:numFmt w:val="bullet"/>
      <w:lvlText w:val="-"/>
      <w:lvlJc w:val="left"/>
      <w:pPr>
        <w:ind w:left="2160" w:hanging="360"/>
      </w:pPr>
      <w:rPr>
        <w:rFonts w:ascii="Courier New" w:eastAsiaTheme="minorHAnsi" w:hAnsi="Courier New" w:cstheme="minorBid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2EE616B"/>
    <w:multiLevelType w:val="multilevel"/>
    <w:tmpl w:val="3DBA69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4792328"/>
    <w:multiLevelType w:val="hybridMultilevel"/>
    <w:tmpl w:val="06BA5D0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7" w15:restartNumberingAfterBreak="0">
    <w:nsid w:val="461B3555"/>
    <w:multiLevelType w:val="multilevel"/>
    <w:tmpl w:val="789C9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47A427F4"/>
    <w:multiLevelType w:val="hybridMultilevel"/>
    <w:tmpl w:val="0B74CA80"/>
    <w:lvl w:ilvl="0" w:tplc="1C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483D1834"/>
    <w:multiLevelType w:val="hybridMultilevel"/>
    <w:tmpl w:val="5C2C799E"/>
    <w:lvl w:ilvl="0" w:tplc="FFFFFFFF">
      <w:start w:val="1"/>
      <w:numFmt w:val="bullet"/>
      <w:lvlText w:val=""/>
      <w:lvlJc w:val="left"/>
      <w:pPr>
        <w:ind w:left="1080" w:hanging="360"/>
      </w:pPr>
      <w:rPr>
        <w:rFonts w:ascii="Symbol" w:hAnsi="Symbol" w:hint="default"/>
      </w:rPr>
    </w:lvl>
    <w:lvl w:ilvl="1" w:tplc="DC704FDE">
      <w:start w:val="1"/>
      <w:numFmt w:val="bullet"/>
      <w:lvlText w:val="-"/>
      <w:lvlJc w:val="left"/>
      <w:pPr>
        <w:ind w:left="1800" w:hanging="360"/>
      </w:pPr>
      <w:rPr>
        <w:rFonts w:ascii="Century Gothic" w:hAnsi="Century Gothic"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0" w15:restartNumberingAfterBreak="0">
    <w:nsid w:val="48FE6D80"/>
    <w:multiLevelType w:val="multilevel"/>
    <w:tmpl w:val="11D4444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1" w15:restartNumberingAfterBreak="0">
    <w:nsid w:val="4AFB3E5E"/>
    <w:multiLevelType w:val="multilevel"/>
    <w:tmpl w:val="DDEC2B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4E09681E"/>
    <w:multiLevelType w:val="hybridMultilevel"/>
    <w:tmpl w:val="2A7646A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3" w15:restartNumberingAfterBreak="0">
    <w:nsid w:val="4E932F5B"/>
    <w:multiLevelType w:val="multilevel"/>
    <w:tmpl w:val="6490474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4EE60069"/>
    <w:multiLevelType w:val="hybridMultilevel"/>
    <w:tmpl w:val="EBEA1A3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5" w15:restartNumberingAfterBreak="0">
    <w:nsid w:val="4EFE3D17"/>
    <w:multiLevelType w:val="multilevel"/>
    <w:tmpl w:val="B73625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15:restartNumberingAfterBreak="0">
    <w:nsid w:val="506B617A"/>
    <w:multiLevelType w:val="hybridMultilevel"/>
    <w:tmpl w:val="B93E398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7" w15:restartNumberingAfterBreak="0">
    <w:nsid w:val="52183C2F"/>
    <w:multiLevelType w:val="multilevel"/>
    <w:tmpl w:val="139ED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531109AF"/>
    <w:multiLevelType w:val="multilevel"/>
    <w:tmpl w:val="4BE2A93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59" w15:restartNumberingAfterBreak="0">
    <w:nsid w:val="53F81492"/>
    <w:multiLevelType w:val="multilevel"/>
    <w:tmpl w:val="539E529E"/>
    <w:lvl w:ilvl="0">
      <w:start w:val="6"/>
      <w:numFmt w:val="bullet"/>
      <w:lvlText w:val="-"/>
      <w:lvlJc w:val="left"/>
      <w:pPr>
        <w:tabs>
          <w:tab w:val="num" w:pos="1211"/>
        </w:tabs>
        <w:ind w:left="1211" w:hanging="360"/>
      </w:pPr>
      <w:rPr>
        <w:rFonts w:ascii="Courier New" w:eastAsiaTheme="minorHAnsi" w:hAnsi="Courier New" w:cstheme="minorBidi" w:hint="default"/>
        <w:sz w:val="20"/>
      </w:rPr>
    </w:lvl>
    <w:lvl w:ilvl="1">
      <w:start w:val="6"/>
      <w:numFmt w:val="bullet"/>
      <w:lvlText w:val="-"/>
      <w:lvlJc w:val="left"/>
      <w:pPr>
        <w:ind w:left="1931" w:hanging="360"/>
      </w:pPr>
      <w:rPr>
        <w:rFonts w:ascii="Courier New" w:eastAsiaTheme="minorHAnsi" w:hAnsi="Courier New" w:cstheme="minorBidi" w:hint="default"/>
      </w:rPr>
    </w:lvl>
    <w:lvl w:ilvl="2">
      <w:start w:val="1"/>
      <w:numFmt w:val="bullet"/>
      <w:lvlText w:val=""/>
      <w:lvlJc w:val="left"/>
      <w:pPr>
        <w:ind w:left="1997" w:hanging="360"/>
      </w:pPr>
      <w:rPr>
        <w:rFonts w:ascii="Times Regular" w:hAnsi="Times Regular" w:hint="default"/>
      </w:rPr>
    </w:lvl>
    <w:lvl w:ilvl="3" w:tentative="1">
      <w:start w:val="1"/>
      <w:numFmt w:val="bullet"/>
      <w:lvlText w:val=""/>
      <w:lvlJc w:val="left"/>
      <w:pPr>
        <w:tabs>
          <w:tab w:val="num" w:pos="3371"/>
        </w:tabs>
        <w:ind w:left="3371" w:hanging="360"/>
      </w:pPr>
      <w:rPr>
        <w:rFonts w:ascii="Wingdings" w:hAnsi="Wingdings" w:hint="default"/>
        <w:sz w:val="20"/>
      </w:rPr>
    </w:lvl>
    <w:lvl w:ilvl="4" w:tentative="1">
      <w:start w:val="1"/>
      <w:numFmt w:val="bullet"/>
      <w:lvlText w:val=""/>
      <w:lvlJc w:val="left"/>
      <w:pPr>
        <w:tabs>
          <w:tab w:val="num" w:pos="4091"/>
        </w:tabs>
        <w:ind w:left="4091" w:hanging="360"/>
      </w:pPr>
      <w:rPr>
        <w:rFonts w:ascii="Wingdings" w:hAnsi="Wingdings" w:hint="default"/>
        <w:sz w:val="20"/>
      </w:rPr>
    </w:lvl>
    <w:lvl w:ilvl="5" w:tentative="1">
      <w:start w:val="1"/>
      <w:numFmt w:val="bullet"/>
      <w:lvlText w:val=""/>
      <w:lvlJc w:val="left"/>
      <w:pPr>
        <w:tabs>
          <w:tab w:val="num" w:pos="4811"/>
        </w:tabs>
        <w:ind w:left="4811" w:hanging="360"/>
      </w:pPr>
      <w:rPr>
        <w:rFonts w:ascii="Wingdings" w:hAnsi="Wingdings" w:hint="default"/>
        <w:sz w:val="20"/>
      </w:rPr>
    </w:lvl>
    <w:lvl w:ilvl="6" w:tentative="1">
      <w:start w:val="1"/>
      <w:numFmt w:val="bullet"/>
      <w:lvlText w:val=""/>
      <w:lvlJc w:val="left"/>
      <w:pPr>
        <w:tabs>
          <w:tab w:val="num" w:pos="5531"/>
        </w:tabs>
        <w:ind w:left="5531" w:hanging="360"/>
      </w:pPr>
      <w:rPr>
        <w:rFonts w:ascii="Wingdings" w:hAnsi="Wingdings" w:hint="default"/>
        <w:sz w:val="20"/>
      </w:rPr>
    </w:lvl>
    <w:lvl w:ilvl="7" w:tentative="1">
      <w:start w:val="1"/>
      <w:numFmt w:val="bullet"/>
      <w:lvlText w:val=""/>
      <w:lvlJc w:val="left"/>
      <w:pPr>
        <w:tabs>
          <w:tab w:val="num" w:pos="6251"/>
        </w:tabs>
        <w:ind w:left="6251" w:hanging="360"/>
      </w:pPr>
      <w:rPr>
        <w:rFonts w:ascii="Wingdings" w:hAnsi="Wingdings" w:hint="default"/>
        <w:sz w:val="20"/>
      </w:rPr>
    </w:lvl>
    <w:lvl w:ilvl="8" w:tentative="1">
      <w:start w:val="1"/>
      <w:numFmt w:val="bullet"/>
      <w:lvlText w:val=""/>
      <w:lvlJc w:val="left"/>
      <w:pPr>
        <w:tabs>
          <w:tab w:val="num" w:pos="6971"/>
        </w:tabs>
        <w:ind w:left="6971" w:hanging="360"/>
      </w:pPr>
      <w:rPr>
        <w:rFonts w:ascii="Wingdings" w:hAnsi="Wingdings" w:hint="default"/>
        <w:sz w:val="20"/>
      </w:rPr>
    </w:lvl>
  </w:abstractNum>
  <w:abstractNum w:abstractNumId="60" w15:restartNumberingAfterBreak="0">
    <w:nsid w:val="56484A70"/>
    <w:multiLevelType w:val="multilevel"/>
    <w:tmpl w:val="E36A097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1" w15:restartNumberingAfterBreak="0">
    <w:nsid w:val="566B111A"/>
    <w:multiLevelType w:val="hybridMultilevel"/>
    <w:tmpl w:val="7CAAF7F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2" w15:restartNumberingAfterBreak="0">
    <w:nsid w:val="5856152F"/>
    <w:multiLevelType w:val="hybridMultilevel"/>
    <w:tmpl w:val="A194414C"/>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3" w15:restartNumberingAfterBreak="0">
    <w:nsid w:val="588C3A76"/>
    <w:multiLevelType w:val="hybridMultilevel"/>
    <w:tmpl w:val="DF86AD2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4" w15:restartNumberingAfterBreak="0">
    <w:nsid w:val="59C10075"/>
    <w:multiLevelType w:val="hybridMultilevel"/>
    <w:tmpl w:val="BEDA2F46"/>
    <w:lvl w:ilvl="0" w:tplc="1C090019">
      <w:start w:val="1"/>
      <w:numFmt w:val="lowerLetter"/>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65" w15:restartNumberingAfterBreak="0">
    <w:nsid w:val="5BAD3CB5"/>
    <w:multiLevelType w:val="hybridMultilevel"/>
    <w:tmpl w:val="74125B36"/>
    <w:lvl w:ilvl="0" w:tplc="1C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6" w15:restartNumberingAfterBreak="0">
    <w:nsid w:val="5C7301AB"/>
    <w:multiLevelType w:val="hybridMultilevel"/>
    <w:tmpl w:val="7A94EDF6"/>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7" w15:restartNumberingAfterBreak="0">
    <w:nsid w:val="610A0E6C"/>
    <w:multiLevelType w:val="hybridMultilevel"/>
    <w:tmpl w:val="0DCC9E3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8" w15:restartNumberingAfterBreak="0">
    <w:nsid w:val="61BA707F"/>
    <w:multiLevelType w:val="multilevel"/>
    <w:tmpl w:val="EC783DCE"/>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210553D"/>
    <w:multiLevelType w:val="hybridMultilevel"/>
    <w:tmpl w:val="98D4878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0" w15:restartNumberingAfterBreak="0">
    <w:nsid w:val="628D04BE"/>
    <w:multiLevelType w:val="hybridMultilevel"/>
    <w:tmpl w:val="5DA4E4EE"/>
    <w:lvl w:ilvl="0" w:tplc="1C090001">
      <w:start w:val="1"/>
      <w:numFmt w:val="bullet"/>
      <w:lvlText w:val=""/>
      <w:lvlJc w:val="left"/>
      <w:pPr>
        <w:ind w:left="144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63214074"/>
    <w:multiLevelType w:val="hybridMultilevel"/>
    <w:tmpl w:val="E8780150"/>
    <w:lvl w:ilvl="0" w:tplc="1C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634E648E"/>
    <w:multiLevelType w:val="hybridMultilevel"/>
    <w:tmpl w:val="BEDA2F46"/>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3" w15:restartNumberingAfterBreak="0">
    <w:nsid w:val="6B8333F8"/>
    <w:multiLevelType w:val="hybridMultilevel"/>
    <w:tmpl w:val="86669C94"/>
    <w:lvl w:ilvl="0" w:tplc="5C221BD8">
      <w:start w:val="1"/>
      <w:numFmt w:val="bullet"/>
      <w:lvlText w:val="·"/>
      <w:lvlJc w:val="left"/>
      <w:pPr>
        <w:ind w:left="360" w:hanging="360"/>
      </w:pPr>
      <w:rPr>
        <w:rFonts w:ascii="Symbol" w:hAnsi="Symbol" w:hint="default"/>
      </w:rPr>
    </w:lvl>
    <w:lvl w:ilvl="1" w:tplc="ACC46470">
      <w:start w:val="1"/>
      <w:numFmt w:val="bullet"/>
      <w:lvlText w:val="o"/>
      <w:lvlJc w:val="left"/>
      <w:pPr>
        <w:ind w:left="1080" w:hanging="360"/>
      </w:pPr>
      <w:rPr>
        <w:rFonts w:ascii="Courier New" w:hAnsi="Courier New" w:hint="default"/>
      </w:rPr>
    </w:lvl>
    <w:lvl w:ilvl="2" w:tplc="70E8E376">
      <w:start w:val="1"/>
      <w:numFmt w:val="bullet"/>
      <w:lvlText w:val=""/>
      <w:lvlJc w:val="left"/>
      <w:pPr>
        <w:ind w:left="1800" w:hanging="360"/>
      </w:pPr>
      <w:rPr>
        <w:rFonts w:ascii="Wingdings" w:hAnsi="Wingdings" w:hint="default"/>
      </w:rPr>
    </w:lvl>
    <w:lvl w:ilvl="3" w:tplc="EB2ED19A">
      <w:start w:val="1"/>
      <w:numFmt w:val="bullet"/>
      <w:lvlText w:val=""/>
      <w:lvlJc w:val="left"/>
      <w:pPr>
        <w:ind w:left="2520" w:hanging="360"/>
      </w:pPr>
      <w:rPr>
        <w:rFonts w:ascii="Symbol" w:hAnsi="Symbol" w:hint="default"/>
      </w:rPr>
    </w:lvl>
    <w:lvl w:ilvl="4" w:tplc="A3D6B134">
      <w:start w:val="1"/>
      <w:numFmt w:val="bullet"/>
      <w:lvlText w:val="o"/>
      <w:lvlJc w:val="left"/>
      <w:pPr>
        <w:ind w:left="3240" w:hanging="360"/>
      </w:pPr>
      <w:rPr>
        <w:rFonts w:ascii="Courier New" w:hAnsi="Courier New" w:hint="default"/>
      </w:rPr>
    </w:lvl>
    <w:lvl w:ilvl="5" w:tplc="9A56453C">
      <w:start w:val="1"/>
      <w:numFmt w:val="bullet"/>
      <w:lvlText w:val=""/>
      <w:lvlJc w:val="left"/>
      <w:pPr>
        <w:ind w:left="3960" w:hanging="360"/>
      </w:pPr>
      <w:rPr>
        <w:rFonts w:ascii="Wingdings" w:hAnsi="Wingdings" w:hint="default"/>
      </w:rPr>
    </w:lvl>
    <w:lvl w:ilvl="6" w:tplc="758E5FF6">
      <w:start w:val="1"/>
      <w:numFmt w:val="bullet"/>
      <w:lvlText w:val=""/>
      <w:lvlJc w:val="left"/>
      <w:pPr>
        <w:ind w:left="4680" w:hanging="360"/>
      </w:pPr>
      <w:rPr>
        <w:rFonts w:ascii="Symbol" w:hAnsi="Symbol" w:hint="default"/>
      </w:rPr>
    </w:lvl>
    <w:lvl w:ilvl="7" w:tplc="B720FA30">
      <w:start w:val="1"/>
      <w:numFmt w:val="bullet"/>
      <w:lvlText w:val="o"/>
      <w:lvlJc w:val="left"/>
      <w:pPr>
        <w:ind w:left="5400" w:hanging="360"/>
      </w:pPr>
      <w:rPr>
        <w:rFonts w:ascii="Courier New" w:hAnsi="Courier New" w:hint="default"/>
      </w:rPr>
    </w:lvl>
    <w:lvl w:ilvl="8" w:tplc="A3686A40">
      <w:start w:val="1"/>
      <w:numFmt w:val="bullet"/>
      <w:lvlText w:val=""/>
      <w:lvlJc w:val="left"/>
      <w:pPr>
        <w:ind w:left="6120" w:hanging="360"/>
      </w:pPr>
      <w:rPr>
        <w:rFonts w:ascii="Wingdings" w:hAnsi="Wingdings" w:hint="default"/>
      </w:rPr>
    </w:lvl>
  </w:abstractNum>
  <w:abstractNum w:abstractNumId="74" w15:restartNumberingAfterBreak="0">
    <w:nsid w:val="6C0D7DA0"/>
    <w:multiLevelType w:val="multilevel"/>
    <w:tmpl w:val="6490474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6E463AE9"/>
    <w:multiLevelType w:val="multilevel"/>
    <w:tmpl w:val="7D6AC21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72B434A6"/>
    <w:multiLevelType w:val="multilevel"/>
    <w:tmpl w:val="F138A1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749F50F1"/>
    <w:multiLevelType w:val="hybridMultilevel"/>
    <w:tmpl w:val="DAD0E08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8" w15:restartNumberingAfterBreak="0">
    <w:nsid w:val="76D47961"/>
    <w:multiLevelType w:val="multilevel"/>
    <w:tmpl w:val="485ECA60"/>
    <w:lvl w:ilvl="0">
      <w:start w:val="1"/>
      <w:numFmt w:val="bullet"/>
      <w:lvlText w:val="o"/>
      <w:lvlJc w:val="left"/>
      <w:pPr>
        <w:ind w:left="360" w:hanging="360"/>
      </w:pPr>
      <w:rPr>
        <w:rFonts w:ascii="Courier New" w:hAnsi="Courier New" w:cs="Courier New"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7C495844"/>
    <w:multiLevelType w:val="hybridMultilevel"/>
    <w:tmpl w:val="C1E6502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0" w15:restartNumberingAfterBreak="0">
    <w:nsid w:val="7C86730D"/>
    <w:multiLevelType w:val="hybridMultilevel"/>
    <w:tmpl w:val="208E453E"/>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num w:numId="1" w16cid:durableId="1174029166">
    <w:abstractNumId w:val="60"/>
  </w:num>
  <w:num w:numId="2" w16cid:durableId="2084716607">
    <w:abstractNumId w:val="32"/>
  </w:num>
  <w:num w:numId="3" w16cid:durableId="352263224">
    <w:abstractNumId w:val="42"/>
  </w:num>
  <w:num w:numId="4" w16cid:durableId="145051177">
    <w:abstractNumId w:val="15"/>
  </w:num>
  <w:num w:numId="5" w16cid:durableId="743142100">
    <w:abstractNumId w:val="5"/>
  </w:num>
  <w:num w:numId="6" w16cid:durableId="881163752">
    <w:abstractNumId w:val="27"/>
  </w:num>
  <w:num w:numId="7" w16cid:durableId="269512017">
    <w:abstractNumId w:val="58"/>
  </w:num>
  <w:num w:numId="8" w16cid:durableId="951939022">
    <w:abstractNumId w:val="39"/>
  </w:num>
  <w:num w:numId="9" w16cid:durableId="1563367073">
    <w:abstractNumId w:val="46"/>
  </w:num>
  <w:num w:numId="10" w16cid:durableId="735319027">
    <w:abstractNumId w:val="13"/>
  </w:num>
  <w:num w:numId="11" w16cid:durableId="2103404391">
    <w:abstractNumId w:val="67"/>
  </w:num>
  <w:num w:numId="12" w16cid:durableId="1136265748">
    <w:abstractNumId w:val="40"/>
  </w:num>
  <w:num w:numId="13" w16cid:durableId="590313999">
    <w:abstractNumId w:val="4"/>
  </w:num>
  <w:num w:numId="14" w16cid:durableId="1802847450">
    <w:abstractNumId w:val="80"/>
  </w:num>
  <w:num w:numId="15" w16cid:durableId="2085493727">
    <w:abstractNumId w:val="53"/>
  </w:num>
  <w:num w:numId="16" w16cid:durableId="2083287226">
    <w:abstractNumId w:val="64"/>
  </w:num>
  <w:num w:numId="17" w16cid:durableId="1383015299">
    <w:abstractNumId w:val="12"/>
  </w:num>
  <w:num w:numId="18" w16cid:durableId="75371733">
    <w:abstractNumId w:val="25"/>
  </w:num>
  <w:num w:numId="19" w16cid:durableId="1303997042">
    <w:abstractNumId w:val="72"/>
  </w:num>
  <w:num w:numId="20" w16cid:durableId="372848130">
    <w:abstractNumId w:val="29"/>
  </w:num>
  <w:num w:numId="21" w16cid:durableId="1105273354">
    <w:abstractNumId w:val="1"/>
  </w:num>
  <w:num w:numId="22" w16cid:durableId="50470768">
    <w:abstractNumId w:val="66"/>
  </w:num>
  <w:num w:numId="23" w16cid:durableId="2103869392">
    <w:abstractNumId w:val="20"/>
  </w:num>
  <w:num w:numId="24" w16cid:durableId="1576158914">
    <w:abstractNumId w:val="31"/>
  </w:num>
  <w:num w:numId="25" w16cid:durableId="1405568865">
    <w:abstractNumId w:val="63"/>
  </w:num>
  <w:num w:numId="26" w16cid:durableId="1094127157">
    <w:abstractNumId w:val="77"/>
  </w:num>
  <w:num w:numId="27" w16cid:durableId="1595822655">
    <w:abstractNumId w:val="36"/>
  </w:num>
  <w:num w:numId="28" w16cid:durableId="1364209775">
    <w:abstractNumId w:val="16"/>
  </w:num>
  <w:num w:numId="29" w16cid:durableId="1248492901">
    <w:abstractNumId w:val="41"/>
  </w:num>
  <w:num w:numId="30" w16cid:durableId="1147360081">
    <w:abstractNumId w:val="22"/>
  </w:num>
  <w:num w:numId="31" w16cid:durableId="2029719843">
    <w:abstractNumId w:val="56"/>
  </w:num>
  <w:num w:numId="32" w16cid:durableId="1982925920">
    <w:abstractNumId w:val="74"/>
  </w:num>
  <w:num w:numId="33" w16cid:durableId="1628975819">
    <w:abstractNumId w:val="2"/>
  </w:num>
  <w:num w:numId="34" w16cid:durableId="1452896496">
    <w:abstractNumId w:val="9"/>
  </w:num>
  <w:num w:numId="35" w16cid:durableId="933561494">
    <w:abstractNumId w:val="52"/>
  </w:num>
  <w:num w:numId="36" w16cid:durableId="1527131724">
    <w:abstractNumId w:val="69"/>
  </w:num>
  <w:num w:numId="37" w16cid:durableId="1331639321">
    <w:abstractNumId w:val="35"/>
  </w:num>
  <w:num w:numId="38" w16cid:durableId="1588658615">
    <w:abstractNumId w:val="61"/>
  </w:num>
  <w:num w:numId="39" w16cid:durableId="1418945282">
    <w:abstractNumId w:val="54"/>
  </w:num>
  <w:num w:numId="40" w16cid:durableId="1212888529">
    <w:abstractNumId w:val="71"/>
  </w:num>
  <w:num w:numId="41" w16cid:durableId="904680238">
    <w:abstractNumId w:val="17"/>
  </w:num>
  <w:num w:numId="42" w16cid:durableId="488205668">
    <w:abstractNumId w:val="48"/>
  </w:num>
  <w:num w:numId="43" w16cid:durableId="1884977348">
    <w:abstractNumId w:val="62"/>
  </w:num>
  <w:num w:numId="44" w16cid:durableId="385493408">
    <w:abstractNumId w:val="73"/>
  </w:num>
  <w:num w:numId="45" w16cid:durableId="1607806720">
    <w:abstractNumId w:val="21"/>
  </w:num>
  <w:num w:numId="46" w16cid:durableId="435060465">
    <w:abstractNumId w:val="7"/>
  </w:num>
  <w:num w:numId="47" w16cid:durableId="1218585768">
    <w:abstractNumId w:val="43"/>
  </w:num>
  <w:num w:numId="48" w16cid:durableId="1533155036">
    <w:abstractNumId w:val="19"/>
  </w:num>
  <w:num w:numId="49" w16cid:durableId="1162313098">
    <w:abstractNumId w:val="65"/>
  </w:num>
  <w:num w:numId="50" w16cid:durableId="354816621">
    <w:abstractNumId w:val="49"/>
  </w:num>
  <w:num w:numId="51" w16cid:durableId="2068722937">
    <w:abstractNumId w:val="30"/>
  </w:num>
  <w:num w:numId="52" w16cid:durableId="240260290">
    <w:abstractNumId w:val="6"/>
  </w:num>
  <w:num w:numId="53" w16cid:durableId="2099984864">
    <w:abstractNumId w:val="23"/>
  </w:num>
  <w:num w:numId="54" w16cid:durableId="973214102">
    <w:abstractNumId w:val="50"/>
  </w:num>
  <w:num w:numId="55" w16cid:durableId="854271914">
    <w:abstractNumId w:val="44"/>
  </w:num>
  <w:num w:numId="56" w16cid:durableId="1417096764">
    <w:abstractNumId w:val="10"/>
  </w:num>
  <w:num w:numId="57" w16cid:durableId="1491823718">
    <w:abstractNumId w:val="59"/>
  </w:num>
  <w:num w:numId="58" w16cid:durableId="1890923213">
    <w:abstractNumId w:val="68"/>
  </w:num>
  <w:num w:numId="59" w16cid:durableId="731460958">
    <w:abstractNumId w:val="79"/>
  </w:num>
  <w:num w:numId="60" w16cid:durableId="1303389096">
    <w:abstractNumId w:val="78"/>
  </w:num>
  <w:num w:numId="61" w16cid:durableId="270934929">
    <w:abstractNumId w:val="28"/>
  </w:num>
  <w:num w:numId="62" w16cid:durableId="227308626">
    <w:abstractNumId w:val="18"/>
  </w:num>
  <w:num w:numId="63" w16cid:durableId="804852303">
    <w:abstractNumId w:val="0"/>
  </w:num>
  <w:num w:numId="64" w16cid:durableId="1720129183">
    <w:abstractNumId w:val="11"/>
  </w:num>
  <w:num w:numId="65" w16cid:durableId="767972305">
    <w:abstractNumId w:val="70"/>
  </w:num>
  <w:num w:numId="66" w16cid:durableId="1293513021">
    <w:abstractNumId w:val="37"/>
  </w:num>
  <w:num w:numId="67" w16cid:durableId="1983806511">
    <w:abstractNumId w:val="38"/>
  </w:num>
  <w:num w:numId="68" w16cid:durableId="1472792251">
    <w:abstractNumId w:val="26"/>
  </w:num>
  <w:num w:numId="69" w16cid:durableId="1362440274">
    <w:abstractNumId w:val="33"/>
  </w:num>
  <w:num w:numId="70" w16cid:durableId="29653677">
    <w:abstractNumId w:val="47"/>
  </w:num>
  <w:num w:numId="71" w16cid:durableId="147207634">
    <w:abstractNumId w:val="34"/>
  </w:num>
  <w:num w:numId="72" w16cid:durableId="2107654845">
    <w:abstractNumId w:val="57"/>
  </w:num>
  <w:num w:numId="73" w16cid:durableId="138243486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704864802">
    <w:abstractNumId w:val="3"/>
  </w:num>
  <w:num w:numId="75" w16cid:durableId="1068573738">
    <w:abstractNumId w:val="24"/>
  </w:num>
  <w:num w:numId="76" w16cid:durableId="141023237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204224036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035424838">
    <w:abstractNumId w:val="75"/>
  </w:num>
  <w:num w:numId="79" w16cid:durableId="1861695082">
    <w:abstractNumId w:val="76"/>
  </w:num>
  <w:num w:numId="80" w16cid:durableId="1307201668">
    <w:abstractNumId w:val="51"/>
  </w:num>
  <w:num w:numId="81" w16cid:durableId="413016234">
    <w:abstractNumId w:val="45"/>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3E49"/>
    <w:rsid w:val="000004F1"/>
    <w:rsid w:val="00000758"/>
    <w:rsid w:val="00000F32"/>
    <w:rsid w:val="00000FC2"/>
    <w:rsid w:val="00001621"/>
    <w:rsid w:val="00001D28"/>
    <w:rsid w:val="00001DB1"/>
    <w:rsid w:val="00002559"/>
    <w:rsid w:val="00003208"/>
    <w:rsid w:val="00003616"/>
    <w:rsid w:val="0000552B"/>
    <w:rsid w:val="000068ED"/>
    <w:rsid w:val="00006DFF"/>
    <w:rsid w:val="000070E4"/>
    <w:rsid w:val="00007850"/>
    <w:rsid w:val="000105DF"/>
    <w:rsid w:val="00010ECC"/>
    <w:rsid w:val="000118F5"/>
    <w:rsid w:val="0001256C"/>
    <w:rsid w:val="00013614"/>
    <w:rsid w:val="00014015"/>
    <w:rsid w:val="00014104"/>
    <w:rsid w:val="0001416D"/>
    <w:rsid w:val="00014691"/>
    <w:rsid w:val="000149E3"/>
    <w:rsid w:val="00014AC2"/>
    <w:rsid w:val="00014B88"/>
    <w:rsid w:val="00014D12"/>
    <w:rsid w:val="0001502D"/>
    <w:rsid w:val="00015498"/>
    <w:rsid w:val="00017459"/>
    <w:rsid w:val="000215BE"/>
    <w:rsid w:val="000229FD"/>
    <w:rsid w:val="00023485"/>
    <w:rsid w:val="00023BE9"/>
    <w:rsid w:val="0002422B"/>
    <w:rsid w:val="000245B5"/>
    <w:rsid w:val="00025504"/>
    <w:rsid w:val="00026578"/>
    <w:rsid w:val="00027C26"/>
    <w:rsid w:val="00027ED6"/>
    <w:rsid w:val="000306A3"/>
    <w:rsid w:val="00031AC9"/>
    <w:rsid w:val="00032902"/>
    <w:rsid w:val="00032C7C"/>
    <w:rsid w:val="00033381"/>
    <w:rsid w:val="000355CB"/>
    <w:rsid w:val="00036DF5"/>
    <w:rsid w:val="00036ED9"/>
    <w:rsid w:val="00036F7D"/>
    <w:rsid w:val="000400C8"/>
    <w:rsid w:val="00040899"/>
    <w:rsid w:val="00040F21"/>
    <w:rsid w:val="00041183"/>
    <w:rsid w:val="00041BED"/>
    <w:rsid w:val="00042B29"/>
    <w:rsid w:val="00042F9E"/>
    <w:rsid w:val="000440F3"/>
    <w:rsid w:val="00044E74"/>
    <w:rsid w:val="00044F8D"/>
    <w:rsid w:val="00045BFE"/>
    <w:rsid w:val="00045D87"/>
    <w:rsid w:val="000467CE"/>
    <w:rsid w:val="00046A47"/>
    <w:rsid w:val="000472BB"/>
    <w:rsid w:val="00047DEA"/>
    <w:rsid w:val="00050178"/>
    <w:rsid w:val="00050F71"/>
    <w:rsid w:val="0005130E"/>
    <w:rsid w:val="000524C7"/>
    <w:rsid w:val="000531D7"/>
    <w:rsid w:val="00055FCE"/>
    <w:rsid w:val="00057F38"/>
    <w:rsid w:val="0006007A"/>
    <w:rsid w:val="000601B0"/>
    <w:rsid w:val="0006049D"/>
    <w:rsid w:val="000606A1"/>
    <w:rsid w:val="000620F6"/>
    <w:rsid w:val="00062382"/>
    <w:rsid w:val="00062499"/>
    <w:rsid w:val="000628BA"/>
    <w:rsid w:val="00062CF9"/>
    <w:rsid w:val="00062E94"/>
    <w:rsid w:val="0006351A"/>
    <w:rsid w:val="000636BD"/>
    <w:rsid w:val="00063CD2"/>
    <w:rsid w:val="00064C00"/>
    <w:rsid w:val="00065DA9"/>
    <w:rsid w:val="00067934"/>
    <w:rsid w:val="00067B13"/>
    <w:rsid w:val="00070064"/>
    <w:rsid w:val="000704AB"/>
    <w:rsid w:val="00070944"/>
    <w:rsid w:val="00070F39"/>
    <w:rsid w:val="00071533"/>
    <w:rsid w:val="00071F75"/>
    <w:rsid w:val="00071F7D"/>
    <w:rsid w:val="000729E8"/>
    <w:rsid w:val="00072ABF"/>
    <w:rsid w:val="00072C34"/>
    <w:rsid w:val="00073B4D"/>
    <w:rsid w:val="00073CE1"/>
    <w:rsid w:val="0007652A"/>
    <w:rsid w:val="00076C6C"/>
    <w:rsid w:val="00077AF3"/>
    <w:rsid w:val="00080703"/>
    <w:rsid w:val="000807B4"/>
    <w:rsid w:val="00081623"/>
    <w:rsid w:val="00081842"/>
    <w:rsid w:val="00081C00"/>
    <w:rsid w:val="00083109"/>
    <w:rsid w:val="000848DA"/>
    <w:rsid w:val="00085948"/>
    <w:rsid w:val="00086594"/>
    <w:rsid w:val="00086FEE"/>
    <w:rsid w:val="000904C2"/>
    <w:rsid w:val="00090DAC"/>
    <w:rsid w:val="00091820"/>
    <w:rsid w:val="000919E0"/>
    <w:rsid w:val="000928C0"/>
    <w:rsid w:val="00093C6A"/>
    <w:rsid w:val="00094415"/>
    <w:rsid w:val="00095BAD"/>
    <w:rsid w:val="00096360"/>
    <w:rsid w:val="00096C41"/>
    <w:rsid w:val="00096E36"/>
    <w:rsid w:val="00097E29"/>
    <w:rsid w:val="000A0A5B"/>
    <w:rsid w:val="000A0E85"/>
    <w:rsid w:val="000A0FA1"/>
    <w:rsid w:val="000A1121"/>
    <w:rsid w:val="000A1191"/>
    <w:rsid w:val="000A160B"/>
    <w:rsid w:val="000A32DA"/>
    <w:rsid w:val="000A3AB6"/>
    <w:rsid w:val="000A46EA"/>
    <w:rsid w:val="000A491C"/>
    <w:rsid w:val="000A4A4C"/>
    <w:rsid w:val="000A4A50"/>
    <w:rsid w:val="000A500C"/>
    <w:rsid w:val="000A6068"/>
    <w:rsid w:val="000A63CD"/>
    <w:rsid w:val="000B1146"/>
    <w:rsid w:val="000B1202"/>
    <w:rsid w:val="000B24D9"/>
    <w:rsid w:val="000B2FD6"/>
    <w:rsid w:val="000B2FDF"/>
    <w:rsid w:val="000B36DB"/>
    <w:rsid w:val="000B45FC"/>
    <w:rsid w:val="000B4C23"/>
    <w:rsid w:val="000B53F0"/>
    <w:rsid w:val="000B6466"/>
    <w:rsid w:val="000B6C68"/>
    <w:rsid w:val="000B7DDD"/>
    <w:rsid w:val="000C00E4"/>
    <w:rsid w:val="000C0EB4"/>
    <w:rsid w:val="000C209D"/>
    <w:rsid w:val="000C272B"/>
    <w:rsid w:val="000C2889"/>
    <w:rsid w:val="000C41E3"/>
    <w:rsid w:val="000C4318"/>
    <w:rsid w:val="000C455E"/>
    <w:rsid w:val="000C5835"/>
    <w:rsid w:val="000C5917"/>
    <w:rsid w:val="000C5F02"/>
    <w:rsid w:val="000C66FE"/>
    <w:rsid w:val="000D03C2"/>
    <w:rsid w:val="000D06A8"/>
    <w:rsid w:val="000D07AB"/>
    <w:rsid w:val="000D28BB"/>
    <w:rsid w:val="000D2971"/>
    <w:rsid w:val="000D3310"/>
    <w:rsid w:val="000D3464"/>
    <w:rsid w:val="000D3865"/>
    <w:rsid w:val="000D40C1"/>
    <w:rsid w:val="000D4315"/>
    <w:rsid w:val="000D530A"/>
    <w:rsid w:val="000D68C5"/>
    <w:rsid w:val="000D6AF0"/>
    <w:rsid w:val="000D6D8D"/>
    <w:rsid w:val="000D7426"/>
    <w:rsid w:val="000E0783"/>
    <w:rsid w:val="000E2A06"/>
    <w:rsid w:val="000E2A0C"/>
    <w:rsid w:val="000E2A61"/>
    <w:rsid w:val="000E3FCA"/>
    <w:rsid w:val="000E430B"/>
    <w:rsid w:val="000E4757"/>
    <w:rsid w:val="000E6D18"/>
    <w:rsid w:val="000E7252"/>
    <w:rsid w:val="000E7D93"/>
    <w:rsid w:val="000E7FC3"/>
    <w:rsid w:val="000F0B65"/>
    <w:rsid w:val="000F17B5"/>
    <w:rsid w:val="000F2751"/>
    <w:rsid w:val="000F4810"/>
    <w:rsid w:val="000F4CAF"/>
    <w:rsid w:val="000F5A86"/>
    <w:rsid w:val="000F6964"/>
    <w:rsid w:val="000F6EBE"/>
    <w:rsid w:val="000F7876"/>
    <w:rsid w:val="000F7B20"/>
    <w:rsid w:val="000F7C84"/>
    <w:rsid w:val="0010012F"/>
    <w:rsid w:val="0010082E"/>
    <w:rsid w:val="00100F52"/>
    <w:rsid w:val="001013A1"/>
    <w:rsid w:val="001018D5"/>
    <w:rsid w:val="0010258F"/>
    <w:rsid w:val="0010264B"/>
    <w:rsid w:val="00102CF1"/>
    <w:rsid w:val="001059FD"/>
    <w:rsid w:val="00105D51"/>
    <w:rsid w:val="0010631B"/>
    <w:rsid w:val="001071E2"/>
    <w:rsid w:val="00107F37"/>
    <w:rsid w:val="001106B7"/>
    <w:rsid w:val="001109EF"/>
    <w:rsid w:val="00113D71"/>
    <w:rsid w:val="0011435D"/>
    <w:rsid w:val="00114437"/>
    <w:rsid w:val="001158CB"/>
    <w:rsid w:val="00115E74"/>
    <w:rsid w:val="001162DA"/>
    <w:rsid w:val="00117197"/>
    <w:rsid w:val="001171C8"/>
    <w:rsid w:val="0011732E"/>
    <w:rsid w:val="00117B6E"/>
    <w:rsid w:val="001205DE"/>
    <w:rsid w:val="00120C23"/>
    <w:rsid w:val="00120DAC"/>
    <w:rsid w:val="00121479"/>
    <w:rsid w:val="00121C7C"/>
    <w:rsid w:val="0012206D"/>
    <w:rsid w:val="00124108"/>
    <w:rsid w:val="00124555"/>
    <w:rsid w:val="00124C9A"/>
    <w:rsid w:val="00124F4A"/>
    <w:rsid w:val="00131984"/>
    <w:rsid w:val="0013372B"/>
    <w:rsid w:val="00133766"/>
    <w:rsid w:val="00133844"/>
    <w:rsid w:val="00133985"/>
    <w:rsid w:val="00133F4C"/>
    <w:rsid w:val="00134530"/>
    <w:rsid w:val="00135074"/>
    <w:rsid w:val="0013650A"/>
    <w:rsid w:val="00136E56"/>
    <w:rsid w:val="0013700F"/>
    <w:rsid w:val="001407F0"/>
    <w:rsid w:val="00140E68"/>
    <w:rsid w:val="00141D6A"/>
    <w:rsid w:val="00142395"/>
    <w:rsid w:val="00143658"/>
    <w:rsid w:val="00143710"/>
    <w:rsid w:val="00143B4A"/>
    <w:rsid w:val="00144D5D"/>
    <w:rsid w:val="0014528D"/>
    <w:rsid w:val="00145DFD"/>
    <w:rsid w:val="00145F5A"/>
    <w:rsid w:val="00146014"/>
    <w:rsid w:val="00146A0A"/>
    <w:rsid w:val="00146A6C"/>
    <w:rsid w:val="00146F28"/>
    <w:rsid w:val="001473F6"/>
    <w:rsid w:val="00147730"/>
    <w:rsid w:val="00151062"/>
    <w:rsid w:val="00151A34"/>
    <w:rsid w:val="00153205"/>
    <w:rsid w:val="001532CE"/>
    <w:rsid w:val="00153410"/>
    <w:rsid w:val="00155A09"/>
    <w:rsid w:val="00156BB4"/>
    <w:rsid w:val="001570C4"/>
    <w:rsid w:val="001620EA"/>
    <w:rsid w:val="001621C6"/>
    <w:rsid w:val="00163A1E"/>
    <w:rsid w:val="00163BFE"/>
    <w:rsid w:val="00163DEC"/>
    <w:rsid w:val="001642B2"/>
    <w:rsid w:val="00164C8D"/>
    <w:rsid w:val="00164EE5"/>
    <w:rsid w:val="001654F8"/>
    <w:rsid w:val="00165A3A"/>
    <w:rsid w:val="00165E8C"/>
    <w:rsid w:val="00165EA9"/>
    <w:rsid w:val="0016604B"/>
    <w:rsid w:val="00166A47"/>
    <w:rsid w:val="00166A8C"/>
    <w:rsid w:val="00166D85"/>
    <w:rsid w:val="00167EF5"/>
    <w:rsid w:val="001713F5"/>
    <w:rsid w:val="001717AA"/>
    <w:rsid w:val="00172035"/>
    <w:rsid w:val="00172361"/>
    <w:rsid w:val="00172BA1"/>
    <w:rsid w:val="00172EC4"/>
    <w:rsid w:val="001734B7"/>
    <w:rsid w:val="0017421C"/>
    <w:rsid w:val="0017434B"/>
    <w:rsid w:val="00175CD4"/>
    <w:rsid w:val="0017657D"/>
    <w:rsid w:val="00176B26"/>
    <w:rsid w:val="00176FC4"/>
    <w:rsid w:val="0017799F"/>
    <w:rsid w:val="001829D9"/>
    <w:rsid w:val="0018317A"/>
    <w:rsid w:val="0018626B"/>
    <w:rsid w:val="00187A99"/>
    <w:rsid w:val="00187F7C"/>
    <w:rsid w:val="001911C5"/>
    <w:rsid w:val="0019310C"/>
    <w:rsid w:val="00194D94"/>
    <w:rsid w:val="00196502"/>
    <w:rsid w:val="00196A19"/>
    <w:rsid w:val="00196FCC"/>
    <w:rsid w:val="001A07A9"/>
    <w:rsid w:val="001A0FF6"/>
    <w:rsid w:val="001A2686"/>
    <w:rsid w:val="001A3F1C"/>
    <w:rsid w:val="001A4236"/>
    <w:rsid w:val="001A431F"/>
    <w:rsid w:val="001A57D6"/>
    <w:rsid w:val="001A5DE7"/>
    <w:rsid w:val="001A6268"/>
    <w:rsid w:val="001A6E02"/>
    <w:rsid w:val="001A709D"/>
    <w:rsid w:val="001A75B2"/>
    <w:rsid w:val="001A7C08"/>
    <w:rsid w:val="001B17A0"/>
    <w:rsid w:val="001B35B9"/>
    <w:rsid w:val="001B3BC5"/>
    <w:rsid w:val="001B3EF7"/>
    <w:rsid w:val="001B440D"/>
    <w:rsid w:val="001B456B"/>
    <w:rsid w:val="001B479D"/>
    <w:rsid w:val="001B5121"/>
    <w:rsid w:val="001B6D3E"/>
    <w:rsid w:val="001B7A80"/>
    <w:rsid w:val="001B7FBA"/>
    <w:rsid w:val="001C0B20"/>
    <w:rsid w:val="001C299E"/>
    <w:rsid w:val="001C2EBD"/>
    <w:rsid w:val="001C37D2"/>
    <w:rsid w:val="001C3F6E"/>
    <w:rsid w:val="001C56A0"/>
    <w:rsid w:val="001C6739"/>
    <w:rsid w:val="001C76BE"/>
    <w:rsid w:val="001D0454"/>
    <w:rsid w:val="001D0A75"/>
    <w:rsid w:val="001D0DEF"/>
    <w:rsid w:val="001D1511"/>
    <w:rsid w:val="001D15A8"/>
    <w:rsid w:val="001D22EA"/>
    <w:rsid w:val="001D3EE3"/>
    <w:rsid w:val="001D3F73"/>
    <w:rsid w:val="001D438D"/>
    <w:rsid w:val="001D470D"/>
    <w:rsid w:val="001D4B8F"/>
    <w:rsid w:val="001D68DF"/>
    <w:rsid w:val="001D70BA"/>
    <w:rsid w:val="001E137C"/>
    <w:rsid w:val="001E2BC0"/>
    <w:rsid w:val="001E2F7C"/>
    <w:rsid w:val="001E3438"/>
    <w:rsid w:val="001E388B"/>
    <w:rsid w:val="001E3907"/>
    <w:rsid w:val="001E410A"/>
    <w:rsid w:val="001E462B"/>
    <w:rsid w:val="001E4F9E"/>
    <w:rsid w:val="001E5EBD"/>
    <w:rsid w:val="001E6195"/>
    <w:rsid w:val="001E65F6"/>
    <w:rsid w:val="001E6E34"/>
    <w:rsid w:val="001F1787"/>
    <w:rsid w:val="001F1F7F"/>
    <w:rsid w:val="001F3212"/>
    <w:rsid w:val="001F3452"/>
    <w:rsid w:val="001F35D9"/>
    <w:rsid w:val="001F61E0"/>
    <w:rsid w:val="001F627C"/>
    <w:rsid w:val="001F62B1"/>
    <w:rsid w:val="001F7B04"/>
    <w:rsid w:val="001F7EF9"/>
    <w:rsid w:val="001F7FC3"/>
    <w:rsid w:val="00200829"/>
    <w:rsid w:val="002025C8"/>
    <w:rsid w:val="00202721"/>
    <w:rsid w:val="00202E0B"/>
    <w:rsid w:val="00203412"/>
    <w:rsid w:val="00203D64"/>
    <w:rsid w:val="00205672"/>
    <w:rsid w:val="00207460"/>
    <w:rsid w:val="00210B14"/>
    <w:rsid w:val="00211355"/>
    <w:rsid w:val="00211A1F"/>
    <w:rsid w:val="0021239E"/>
    <w:rsid w:val="00212C2B"/>
    <w:rsid w:val="00213123"/>
    <w:rsid w:val="0021341F"/>
    <w:rsid w:val="00213F5D"/>
    <w:rsid w:val="00213FD4"/>
    <w:rsid w:val="00214F71"/>
    <w:rsid w:val="00215288"/>
    <w:rsid w:val="00215A8F"/>
    <w:rsid w:val="00215C8B"/>
    <w:rsid w:val="00215CA6"/>
    <w:rsid w:val="00216CC6"/>
    <w:rsid w:val="00217F61"/>
    <w:rsid w:val="002203F8"/>
    <w:rsid w:val="00222202"/>
    <w:rsid w:val="0022271B"/>
    <w:rsid w:val="002233A6"/>
    <w:rsid w:val="00223FC1"/>
    <w:rsid w:val="00224523"/>
    <w:rsid w:val="00224804"/>
    <w:rsid w:val="00224EAC"/>
    <w:rsid w:val="00225DD6"/>
    <w:rsid w:val="002262B8"/>
    <w:rsid w:val="00230295"/>
    <w:rsid w:val="00230320"/>
    <w:rsid w:val="00231A3D"/>
    <w:rsid w:val="00231E43"/>
    <w:rsid w:val="00232289"/>
    <w:rsid w:val="002341EE"/>
    <w:rsid w:val="00234BE1"/>
    <w:rsid w:val="00234E80"/>
    <w:rsid w:val="0023619C"/>
    <w:rsid w:val="002363AD"/>
    <w:rsid w:val="00237329"/>
    <w:rsid w:val="0024135B"/>
    <w:rsid w:val="00241D38"/>
    <w:rsid w:val="00242038"/>
    <w:rsid w:val="00242B9F"/>
    <w:rsid w:val="002432D7"/>
    <w:rsid w:val="002436A0"/>
    <w:rsid w:val="00244033"/>
    <w:rsid w:val="00246515"/>
    <w:rsid w:val="00246700"/>
    <w:rsid w:val="00246B10"/>
    <w:rsid w:val="002470ED"/>
    <w:rsid w:val="002472B6"/>
    <w:rsid w:val="002473CC"/>
    <w:rsid w:val="0025096E"/>
    <w:rsid w:val="00250FCF"/>
    <w:rsid w:val="0025137D"/>
    <w:rsid w:val="00251470"/>
    <w:rsid w:val="002515FE"/>
    <w:rsid w:val="00251A51"/>
    <w:rsid w:val="002523D9"/>
    <w:rsid w:val="00252BD1"/>
    <w:rsid w:val="00253745"/>
    <w:rsid w:val="002543CD"/>
    <w:rsid w:val="00254A24"/>
    <w:rsid w:val="00254B87"/>
    <w:rsid w:val="0025519C"/>
    <w:rsid w:val="00257292"/>
    <w:rsid w:val="002575E4"/>
    <w:rsid w:val="00260068"/>
    <w:rsid w:val="00260A66"/>
    <w:rsid w:val="00260AE6"/>
    <w:rsid w:val="0026108B"/>
    <w:rsid w:val="00262223"/>
    <w:rsid w:val="0026232B"/>
    <w:rsid w:val="00262780"/>
    <w:rsid w:val="002629AF"/>
    <w:rsid w:val="00263169"/>
    <w:rsid w:val="0026383B"/>
    <w:rsid w:val="00263BF7"/>
    <w:rsid w:val="00263D63"/>
    <w:rsid w:val="00264B41"/>
    <w:rsid w:val="00264FE3"/>
    <w:rsid w:val="00265E05"/>
    <w:rsid w:val="00267ED3"/>
    <w:rsid w:val="00272E8D"/>
    <w:rsid w:val="002730D2"/>
    <w:rsid w:val="00273A71"/>
    <w:rsid w:val="00274457"/>
    <w:rsid w:val="002744DF"/>
    <w:rsid w:val="00276EC8"/>
    <w:rsid w:val="00276FEF"/>
    <w:rsid w:val="0027717A"/>
    <w:rsid w:val="002776B7"/>
    <w:rsid w:val="002779B9"/>
    <w:rsid w:val="00277E13"/>
    <w:rsid w:val="002814A1"/>
    <w:rsid w:val="002824F9"/>
    <w:rsid w:val="002831B9"/>
    <w:rsid w:val="00283431"/>
    <w:rsid w:val="0028394B"/>
    <w:rsid w:val="002840DC"/>
    <w:rsid w:val="002854A4"/>
    <w:rsid w:val="00285A7F"/>
    <w:rsid w:val="002865FD"/>
    <w:rsid w:val="00286F18"/>
    <w:rsid w:val="002870FD"/>
    <w:rsid w:val="00287A77"/>
    <w:rsid w:val="002910D5"/>
    <w:rsid w:val="002937F9"/>
    <w:rsid w:val="002944B5"/>
    <w:rsid w:val="002944E5"/>
    <w:rsid w:val="00294D75"/>
    <w:rsid w:val="00294F49"/>
    <w:rsid w:val="00295AE0"/>
    <w:rsid w:val="00296A83"/>
    <w:rsid w:val="00297BD4"/>
    <w:rsid w:val="00297D93"/>
    <w:rsid w:val="00297E76"/>
    <w:rsid w:val="002A0329"/>
    <w:rsid w:val="002A0676"/>
    <w:rsid w:val="002A0C04"/>
    <w:rsid w:val="002A0DCE"/>
    <w:rsid w:val="002A136D"/>
    <w:rsid w:val="002A17A7"/>
    <w:rsid w:val="002A3437"/>
    <w:rsid w:val="002A3DE2"/>
    <w:rsid w:val="002A42B5"/>
    <w:rsid w:val="002A7603"/>
    <w:rsid w:val="002B1635"/>
    <w:rsid w:val="002B27F2"/>
    <w:rsid w:val="002B28A3"/>
    <w:rsid w:val="002B2EC6"/>
    <w:rsid w:val="002B3485"/>
    <w:rsid w:val="002B38D4"/>
    <w:rsid w:val="002B4692"/>
    <w:rsid w:val="002B5F55"/>
    <w:rsid w:val="002B6FDE"/>
    <w:rsid w:val="002B7781"/>
    <w:rsid w:val="002B7B36"/>
    <w:rsid w:val="002C0A96"/>
    <w:rsid w:val="002C0C7D"/>
    <w:rsid w:val="002C184E"/>
    <w:rsid w:val="002C301F"/>
    <w:rsid w:val="002C425A"/>
    <w:rsid w:val="002C61F2"/>
    <w:rsid w:val="002C6581"/>
    <w:rsid w:val="002C7C04"/>
    <w:rsid w:val="002D143A"/>
    <w:rsid w:val="002D1589"/>
    <w:rsid w:val="002D3596"/>
    <w:rsid w:val="002D384B"/>
    <w:rsid w:val="002D3ED8"/>
    <w:rsid w:val="002D4017"/>
    <w:rsid w:val="002D40DE"/>
    <w:rsid w:val="002D44BE"/>
    <w:rsid w:val="002D61B3"/>
    <w:rsid w:val="002D6E2F"/>
    <w:rsid w:val="002D736E"/>
    <w:rsid w:val="002D757C"/>
    <w:rsid w:val="002D769E"/>
    <w:rsid w:val="002D7D0F"/>
    <w:rsid w:val="002E0994"/>
    <w:rsid w:val="002E1C78"/>
    <w:rsid w:val="002E23C1"/>
    <w:rsid w:val="002E2C5C"/>
    <w:rsid w:val="002E612C"/>
    <w:rsid w:val="002E6360"/>
    <w:rsid w:val="002E63D6"/>
    <w:rsid w:val="002E65BA"/>
    <w:rsid w:val="002E6948"/>
    <w:rsid w:val="002E6FBC"/>
    <w:rsid w:val="002F27B3"/>
    <w:rsid w:val="002F2A7B"/>
    <w:rsid w:val="002F377A"/>
    <w:rsid w:val="002F4369"/>
    <w:rsid w:val="002F4787"/>
    <w:rsid w:val="002F4FAC"/>
    <w:rsid w:val="002F6848"/>
    <w:rsid w:val="00300AC1"/>
    <w:rsid w:val="00301188"/>
    <w:rsid w:val="00302AFE"/>
    <w:rsid w:val="00304107"/>
    <w:rsid w:val="00307FCB"/>
    <w:rsid w:val="00312E5F"/>
    <w:rsid w:val="00313A39"/>
    <w:rsid w:val="00313D3E"/>
    <w:rsid w:val="00313E81"/>
    <w:rsid w:val="0031443D"/>
    <w:rsid w:val="00315309"/>
    <w:rsid w:val="00315344"/>
    <w:rsid w:val="00315556"/>
    <w:rsid w:val="003158F7"/>
    <w:rsid w:val="00315BC5"/>
    <w:rsid w:val="003164B9"/>
    <w:rsid w:val="00316E3B"/>
    <w:rsid w:val="0031719D"/>
    <w:rsid w:val="00317F61"/>
    <w:rsid w:val="00320840"/>
    <w:rsid w:val="00322BC0"/>
    <w:rsid w:val="003235DA"/>
    <w:rsid w:val="0032404D"/>
    <w:rsid w:val="003246D6"/>
    <w:rsid w:val="00325E7D"/>
    <w:rsid w:val="00326E9E"/>
    <w:rsid w:val="003302D0"/>
    <w:rsid w:val="003303A8"/>
    <w:rsid w:val="00330C5A"/>
    <w:rsid w:val="00331408"/>
    <w:rsid w:val="0033151E"/>
    <w:rsid w:val="00332397"/>
    <w:rsid w:val="003326C7"/>
    <w:rsid w:val="003334A7"/>
    <w:rsid w:val="0033490D"/>
    <w:rsid w:val="0033645E"/>
    <w:rsid w:val="00336DB1"/>
    <w:rsid w:val="00341A2D"/>
    <w:rsid w:val="00342422"/>
    <w:rsid w:val="00343A67"/>
    <w:rsid w:val="003448E7"/>
    <w:rsid w:val="00346721"/>
    <w:rsid w:val="00346CF3"/>
    <w:rsid w:val="00346D53"/>
    <w:rsid w:val="00347B18"/>
    <w:rsid w:val="00347BDA"/>
    <w:rsid w:val="0035038F"/>
    <w:rsid w:val="00350421"/>
    <w:rsid w:val="0035065E"/>
    <w:rsid w:val="00350CCF"/>
    <w:rsid w:val="00352DDC"/>
    <w:rsid w:val="0035423D"/>
    <w:rsid w:val="0035432E"/>
    <w:rsid w:val="003544A7"/>
    <w:rsid w:val="00354E8C"/>
    <w:rsid w:val="00355163"/>
    <w:rsid w:val="003552C6"/>
    <w:rsid w:val="0035632F"/>
    <w:rsid w:val="00356E19"/>
    <w:rsid w:val="00360BEA"/>
    <w:rsid w:val="003610ED"/>
    <w:rsid w:val="003651F4"/>
    <w:rsid w:val="00365526"/>
    <w:rsid w:val="003664D6"/>
    <w:rsid w:val="003677A4"/>
    <w:rsid w:val="00370080"/>
    <w:rsid w:val="003709CF"/>
    <w:rsid w:val="003724E2"/>
    <w:rsid w:val="00372E82"/>
    <w:rsid w:val="00373672"/>
    <w:rsid w:val="003737D1"/>
    <w:rsid w:val="00373F04"/>
    <w:rsid w:val="0037442B"/>
    <w:rsid w:val="0037536A"/>
    <w:rsid w:val="00376253"/>
    <w:rsid w:val="003768DB"/>
    <w:rsid w:val="00377228"/>
    <w:rsid w:val="00377C0D"/>
    <w:rsid w:val="003800F0"/>
    <w:rsid w:val="00380347"/>
    <w:rsid w:val="003804DA"/>
    <w:rsid w:val="0038051F"/>
    <w:rsid w:val="0038224B"/>
    <w:rsid w:val="00382360"/>
    <w:rsid w:val="0038278F"/>
    <w:rsid w:val="00382E8C"/>
    <w:rsid w:val="00383995"/>
    <w:rsid w:val="0038585D"/>
    <w:rsid w:val="003859DC"/>
    <w:rsid w:val="00386D0C"/>
    <w:rsid w:val="003875AB"/>
    <w:rsid w:val="00387FEE"/>
    <w:rsid w:val="0039076D"/>
    <w:rsid w:val="003923A5"/>
    <w:rsid w:val="003928ED"/>
    <w:rsid w:val="00392976"/>
    <w:rsid w:val="0039304A"/>
    <w:rsid w:val="00393C80"/>
    <w:rsid w:val="00393F24"/>
    <w:rsid w:val="00393F5B"/>
    <w:rsid w:val="003942CF"/>
    <w:rsid w:val="003965D3"/>
    <w:rsid w:val="0039668E"/>
    <w:rsid w:val="003979EE"/>
    <w:rsid w:val="003A040F"/>
    <w:rsid w:val="003A119A"/>
    <w:rsid w:val="003A2B63"/>
    <w:rsid w:val="003A2C74"/>
    <w:rsid w:val="003A413A"/>
    <w:rsid w:val="003A4142"/>
    <w:rsid w:val="003A5B3B"/>
    <w:rsid w:val="003A5FCE"/>
    <w:rsid w:val="003A6283"/>
    <w:rsid w:val="003A6AFB"/>
    <w:rsid w:val="003B0A63"/>
    <w:rsid w:val="003B11BE"/>
    <w:rsid w:val="003B1522"/>
    <w:rsid w:val="003B1A8B"/>
    <w:rsid w:val="003B2066"/>
    <w:rsid w:val="003B2907"/>
    <w:rsid w:val="003B5075"/>
    <w:rsid w:val="003B5A1C"/>
    <w:rsid w:val="003B5BEC"/>
    <w:rsid w:val="003C023A"/>
    <w:rsid w:val="003C035C"/>
    <w:rsid w:val="003C16E5"/>
    <w:rsid w:val="003C236C"/>
    <w:rsid w:val="003C35BA"/>
    <w:rsid w:val="003C51FA"/>
    <w:rsid w:val="003C52EF"/>
    <w:rsid w:val="003C5A34"/>
    <w:rsid w:val="003C7F82"/>
    <w:rsid w:val="003D11E8"/>
    <w:rsid w:val="003D168D"/>
    <w:rsid w:val="003D2075"/>
    <w:rsid w:val="003D289C"/>
    <w:rsid w:val="003D2E57"/>
    <w:rsid w:val="003D49AC"/>
    <w:rsid w:val="003D5453"/>
    <w:rsid w:val="003D5A75"/>
    <w:rsid w:val="003D5CC9"/>
    <w:rsid w:val="003D5E01"/>
    <w:rsid w:val="003D61EF"/>
    <w:rsid w:val="003D6292"/>
    <w:rsid w:val="003D6A84"/>
    <w:rsid w:val="003D74EB"/>
    <w:rsid w:val="003D771C"/>
    <w:rsid w:val="003D7AA1"/>
    <w:rsid w:val="003D7CB7"/>
    <w:rsid w:val="003E4985"/>
    <w:rsid w:val="003E6652"/>
    <w:rsid w:val="003E76A8"/>
    <w:rsid w:val="003E7BEA"/>
    <w:rsid w:val="003F01F0"/>
    <w:rsid w:val="003F1030"/>
    <w:rsid w:val="003F1502"/>
    <w:rsid w:val="003F1510"/>
    <w:rsid w:val="003F32A0"/>
    <w:rsid w:val="003F44C3"/>
    <w:rsid w:val="003F4C38"/>
    <w:rsid w:val="003F4D19"/>
    <w:rsid w:val="003F533A"/>
    <w:rsid w:val="003F55C9"/>
    <w:rsid w:val="003F6AA4"/>
    <w:rsid w:val="00400A12"/>
    <w:rsid w:val="00400DF5"/>
    <w:rsid w:val="004016D1"/>
    <w:rsid w:val="00401F36"/>
    <w:rsid w:val="00402325"/>
    <w:rsid w:val="00402463"/>
    <w:rsid w:val="00402884"/>
    <w:rsid w:val="00403039"/>
    <w:rsid w:val="00404137"/>
    <w:rsid w:val="00404F6F"/>
    <w:rsid w:val="00405673"/>
    <w:rsid w:val="004078CE"/>
    <w:rsid w:val="004078FF"/>
    <w:rsid w:val="004105CF"/>
    <w:rsid w:val="00411A3E"/>
    <w:rsid w:val="004138F9"/>
    <w:rsid w:val="00414112"/>
    <w:rsid w:val="00414950"/>
    <w:rsid w:val="00416817"/>
    <w:rsid w:val="004173AE"/>
    <w:rsid w:val="00417E26"/>
    <w:rsid w:val="004211F4"/>
    <w:rsid w:val="00421F0D"/>
    <w:rsid w:val="00421F46"/>
    <w:rsid w:val="00422B29"/>
    <w:rsid w:val="00423A8E"/>
    <w:rsid w:val="0042585A"/>
    <w:rsid w:val="004263FD"/>
    <w:rsid w:val="00430780"/>
    <w:rsid w:val="004308CB"/>
    <w:rsid w:val="00430AD4"/>
    <w:rsid w:val="00430E20"/>
    <w:rsid w:val="00432D7B"/>
    <w:rsid w:val="00433DC8"/>
    <w:rsid w:val="004357E1"/>
    <w:rsid w:val="00435B5F"/>
    <w:rsid w:val="004365FB"/>
    <w:rsid w:val="00436B2F"/>
    <w:rsid w:val="00436BE9"/>
    <w:rsid w:val="00437926"/>
    <w:rsid w:val="00437CDF"/>
    <w:rsid w:val="00441E22"/>
    <w:rsid w:val="00443E05"/>
    <w:rsid w:val="00444F78"/>
    <w:rsid w:val="00446895"/>
    <w:rsid w:val="00446E5F"/>
    <w:rsid w:val="00447232"/>
    <w:rsid w:val="00450276"/>
    <w:rsid w:val="00452345"/>
    <w:rsid w:val="00452903"/>
    <w:rsid w:val="00452C3C"/>
    <w:rsid w:val="0045381A"/>
    <w:rsid w:val="00453F3E"/>
    <w:rsid w:val="0045419F"/>
    <w:rsid w:val="00455E34"/>
    <w:rsid w:val="00456444"/>
    <w:rsid w:val="00457226"/>
    <w:rsid w:val="00457941"/>
    <w:rsid w:val="00460E48"/>
    <w:rsid w:val="00460E6D"/>
    <w:rsid w:val="00461010"/>
    <w:rsid w:val="004621EF"/>
    <w:rsid w:val="0046532D"/>
    <w:rsid w:val="00466509"/>
    <w:rsid w:val="0046670C"/>
    <w:rsid w:val="00466EA8"/>
    <w:rsid w:val="0047015A"/>
    <w:rsid w:val="004722A4"/>
    <w:rsid w:val="00472F56"/>
    <w:rsid w:val="00473186"/>
    <w:rsid w:val="004735C4"/>
    <w:rsid w:val="00473CF8"/>
    <w:rsid w:val="0047450E"/>
    <w:rsid w:val="00474FBA"/>
    <w:rsid w:val="00475E1F"/>
    <w:rsid w:val="00477DA1"/>
    <w:rsid w:val="0048052B"/>
    <w:rsid w:val="004819FB"/>
    <w:rsid w:val="00481DBE"/>
    <w:rsid w:val="00482071"/>
    <w:rsid w:val="0048240B"/>
    <w:rsid w:val="0048251E"/>
    <w:rsid w:val="0048319D"/>
    <w:rsid w:val="00483AB3"/>
    <w:rsid w:val="004840BA"/>
    <w:rsid w:val="00484782"/>
    <w:rsid w:val="0048493A"/>
    <w:rsid w:val="0048498E"/>
    <w:rsid w:val="004852AF"/>
    <w:rsid w:val="004853A2"/>
    <w:rsid w:val="0048706A"/>
    <w:rsid w:val="004871C6"/>
    <w:rsid w:val="004900D9"/>
    <w:rsid w:val="004923D5"/>
    <w:rsid w:val="004932AA"/>
    <w:rsid w:val="004938F4"/>
    <w:rsid w:val="00493EF2"/>
    <w:rsid w:val="004951FC"/>
    <w:rsid w:val="0049688D"/>
    <w:rsid w:val="00496A10"/>
    <w:rsid w:val="00496CD6"/>
    <w:rsid w:val="004A0EBF"/>
    <w:rsid w:val="004A10EC"/>
    <w:rsid w:val="004A18B4"/>
    <w:rsid w:val="004A1B71"/>
    <w:rsid w:val="004A378A"/>
    <w:rsid w:val="004A5678"/>
    <w:rsid w:val="004A578D"/>
    <w:rsid w:val="004B014E"/>
    <w:rsid w:val="004B02F3"/>
    <w:rsid w:val="004B1038"/>
    <w:rsid w:val="004B154B"/>
    <w:rsid w:val="004B1ED9"/>
    <w:rsid w:val="004B2BE5"/>
    <w:rsid w:val="004B2F9D"/>
    <w:rsid w:val="004B44FD"/>
    <w:rsid w:val="004B5018"/>
    <w:rsid w:val="004B569F"/>
    <w:rsid w:val="004B5C82"/>
    <w:rsid w:val="004B6312"/>
    <w:rsid w:val="004C09DD"/>
    <w:rsid w:val="004C0EA6"/>
    <w:rsid w:val="004C1B08"/>
    <w:rsid w:val="004C1C87"/>
    <w:rsid w:val="004C53BB"/>
    <w:rsid w:val="004C57F2"/>
    <w:rsid w:val="004C5B33"/>
    <w:rsid w:val="004C746C"/>
    <w:rsid w:val="004D2531"/>
    <w:rsid w:val="004D2717"/>
    <w:rsid w:val="004D2E99"/>
    <w:rsid w:val="004D397A"/>
    <w:rsid w:val="004D433E"/>
    <w:rsid w:val="004D5057"/>
    <w:rsid w:val="004D5A90"/>
    <w:rsid w:val="004D5E4E"/>
    <w:rsid w:val="004D691B"/>
    <w:rsid w:val="004D6FE0"/>
    <w:rsid w:val="004E1401"/>
    <w:rsid w:val="004E1EB1"/>
    <w:rsid w:val="004E4E6A"/>
    <w:rsid w:val="004E53A7"/>
    <w:rsid w:val="004E5CD9"/>
    <w:rsid w:val="004E626F"/>
    <w:rsid w:val="004E628B"/>
    <w:rsid w:val="004E7101"/>
    <w:rsid w:val="004E7C3A"/>
    <w:rsid w:val="004E7D25"/>
    <w:rsid w:val="004F0A00"/>
    <w:rsid w:val="004F0D39"/>
    <w:rsid w:val="004F2137"/>
    <w:rsid w:val="004F34FF"/>
    <w:rsid w:val="004F3C68"/>
    <w:rsid w:val="004F54CD"/>
    <w:rsid w:val="004F5B6A"/>
    <w:rsid w:val="00500CA7"/>
    <w:rsid w:val="005016CA"/>
    <w:rsid w:val="005021A8"/>
    <w:rsid w:val="00502C28"/>
    <w:rsid w:val="005038FD"/>
    <w:rsid w:val="00503D04"/>
    <w:rsid w:val="005046BA"/>
    <w:rsid w:val="00504824"/>
    <w:rsid w:val="0050660F"/>
    <w:rsid w:val="00506E51"/>
    <w:rsid w:val="00507511"/>
    <w:rsid w:val="005101E3"/>
    <w:rsid w:val="005118BF"/>
    <w:rsid w:val="00511987"/>
    <w:rsid w:val="00513285"/>
    <w:rsid w:val="00517BD3"/>
    <w:rsid w:val="00521383"/>
    <w:rsid w:val="00522800"/>
    <w:rsid w:val="005240B9"/>
    <w:rsid w:val="00524FBC"/>
    <w:rsid w:val="005258BE"/>
    <w:rsid w:val="00530BC8"/>
    <w:rsid w:val="00531DF0"/>
    <w:rsid w:val="00533921"/>
    <w:rsid w:val="005341C2"/>
    <w:rsid w:val="00534462"/>
    <w:rsid w:val="005349A6"/>
    <w:rsid w:val="00534E05"/>
    <w:rsid w:val="00535118"/>
    <w:rsid w:val="00535994"/>
    <w:rsid w:val="00535F5D"/>
    <w:rsid w:val="00536A7C"/>
    <w:rsid w:val="0053743A"/>
    <w:rsid w:val="00537721"/>
    <w:rsid w:val="00537C14"/>
    <w:rsid w:val="00541C65"/>
    <w:rsid w:val="00544902"/>
    <w:rsid w:val="00544E95"/>
    <w:rsid w:val="00546DB6"/>
    <w:rsid w:val="00550979"/>
    <w:rsid w:val="00550BCB"/>
    <w:rsid w:val="0055202C"/>
    <w:rsid w:val="00552778"/>
    <w:rsid w:val="0055283D"/>
    <w:rsid w:val="0055318A"/>
    <w:rsid w:val="005532C4"/>
    <w:rsid w:val="00553993"/>
    <w:rsid w:val="00553ADF"/>
    <w:rsid w:val="00554436"/>
    <w:rsid w:val="00554556"/>
    <w:rsid w:val="00555D15"/>
    <w:rsid w:val="005564F9"/>
    <w:rsid w:val="00556DDE"/>
    <w:rsid w:val="00562330"/>
    <w:rsid w:val="0056239C"/>
    <w:rsid w:val="005630F6"/>
    <w:rsid w:val="005637DC"/>
    <w:rsid w:val="00563D40"/>
    <w:rsid w:val="00564E0D"/>
    <w:rsid w:val="0056531C"/>
    <w:rsid w:val="00565997"/>
    <w:rsid w:val="00566FF0"/>
    <w:rsid w:val="00567B37"/>
    <w:rsid w:val="00571074"/>
    <w:rsid w:val="00571099"/>
    <w:rsid w:val="005713C6"/>
    <w:rsid w:val="00571F9B"/>
    <w:rsid w:val="005720AD"/>
    <w:rsid w:val="005723B1"/>
    <w:rsid w:val="00572C4B"/>
    <w:rsid w:val="00572CEC"/>
    <w:rsid w:val="0057400A"/>
    <w:rsid w:val="00574371"/>
    <w:rsid w:val="00575DF5"/>
    <w:rsid w:val="00576D20"/>
    <w:rsid w:val="005777AD"/>
    <w:rsid w:val="00580197"/>
    <w:rsid w:val="005816C0"/>
    <w:rsid w:val="00581950"/>
    <w:rsid w:val="005820B9"/>
    <w:rsid w:val="00582CD1"/>
    <w:rsid w:val="00583237"/>
    <w:rsid w:val="00583669"/>
    <w:rsid w:val="005848C9"/>
    <w:rsid w:val="00586325"/>
    <w:rsid w:val="0058661F"/>
    <w:rsid w:val="005867A4"/>
    <w:rsid w:val="00586C5B"/>
    <w:rsid w:val="005907CB"/>
    <w:rsid w:val="005910D1"/>
    <w:rsid w:val="005911EF"/>
    <w:rsid w:val="00592811"/>
    <w:rsid w:val="00593C9A"/>
    <w:rsid w:val="00595158"/>
    <w:rsid w:val="0059609E"/>
    <w:rsid w:val="00596B98"/>
    <w:rsid w:val="00597779"/>
    <w:rsid w:val="005A0064"/>
    <w:rsid w:val="005A052A"/>
    <w:rsid w:val="005A192C"/>
    <w:rsid w:val="005A27E9"/>
    <w:rsid w:val="005A29E4"/>
    <w:rsid w:val="005A5A03"/>
    <w:rsid w:val="005A614A"/>
    <w:rsid w:val="005A7AE5"/>
    <w:rsid w:val="005A7C3D"/>
    <w:rsid w:val="005A7E02"/>
    <w:rsid w:val="005B0CA7"/>
    <w:rsid w:val="005B15B5"/>
    <w:rsid w:val="005B1A40"/>
    <w:rsid w:val="005B1DC4"/>
    <w:rsid w:val="005B1F65"/>
    <w:rsid w:val="005B1F7E"/>
    <w:rsid w:val="005B2157"/>
    <w:rsid w:val="005B28B8"/>
    <w:rsid w:val="005B2F51"/>
    <w:rsid w:val="005B3832"/>
    <w:rsid w:val="005B417D"/>
    <w:rsid w:val="005B5AF2"/>
    <w:rsid w:val="005B6461"/>
    <w:rsid w:val="005B674D"/>
    <w:rsid w:val="005B6BB7"/>
    <w:rsid w:val="005B71C3"/>
    <w:rsid w:val="005C0223"/>
    <w:rsid w:val="005C0DA5"/>
    <w:rsid w:val="005C312A"/>
    <w:rsid w:val="005C5AA5"/>
    <w:rsid w:val="005C61E8"/>
    <w:rsid w:val="005C6BE3"/>
    <w:rsid w:val="005C6D08"/>
    <w:rsid w:val="005C6FE0"/>
    <w:rsid w:val="005C7AB7"/>
    <w:rsid w:val="005D005C"/>
    <w:rsid w:val="005D1267"/>
    <w:rsid w:val="005D14E4"/>
    <w:rsid w:val="005D1A3E"/>
    <w:rsid w:val="005D5AD2"/>
    <w:rsid w:val="005D6BF3"/>
    <w:rsid w:val="005E037F"/>
    <w:rsid w:val="005E102D"/>
    <w:rsid w:val="005E1EAE"/>
    <w:rsid w:val="005E3267"/>
    <w:rsid w:val="005E3593"/>
    <w:rsid w:val="005E39DF"/>
    <w:rsid w:val="005E3ACB"/>
    <w:rsid w:val="005E414C"/>
    <w:rsid w:val="005E720A"/>
    <w:rsid w:val="005E7EA9"/>
    <w:rsid w:val="005F116B"/>
    <w:rsid w:val="005F32B0"/>
    <w:rsid w:val="005F34E8"/>
    <w:rsid w:val="005F3E82"/>
    <w:rsid w:val="005F43F3"/>
    <w:rsid w:val="005F6302"/>
    <w:rsid w:val="005F6486"/>
    <w:rsid w:val="005F6F5C"/>
    <w:rsid w:val="00600276"/>
    <w:rsid w:val="006009E7"/>
    <w:rsid w:val="00600E1D"/>
    <w:rsid w:val="00602745"/>
    <w:rsid w:val="006031BD"/>
    <w:rsid w:val="00603D94"/>
    <w:rsid w:val="0060408A"/>
    <w:rsid w:val="006044B2"/>
    <w:rsid w:val="006044F3"/>
    <w:rsid w:val="00604BB8"/>
    <w:rsid w:val="00604D4C"/>
    <w:rsid w:val="00605415"/>
    <w:rsid w:val="006069FD"/>
    <w:rsid w:val="00610416"/>
    <w:rsid w:val="00610B42"/>
    <w:rsid w:val="00610CD5"/>
    <w:rsid w:val="006120A3"/>
    <w:rsid w:val="006128CC"/>
    <w:rsid w:val="00612BD8"/>
    <w:rsid w:val="00613B99"/>
    <w:rsid w:val="00614AFD"/>
    <w:rsid w:val="00614E19"/>
    <w:rsid w:val="006151FD"/>
    <w:rsid w:val="006169BD"/>
    <w:rsid w:val="00616DC4"/>
    <w:rsid w:val="00616E8F"/>
    <w:rsid w:val="00617DCF"/>
    <w:rsid w:val="0062038C"/>
    <w:rsid w:val="006218BC"/>
    <w:rsid w:val="006228A5"/>
    <w:rsid w:val="00623E26"/>
    <w:rsid w:val="00630327"/>
    <w:rsid w:val="00630546"/>
    <w:rsid w:val="00630A34"/>
    <w:rsid w:val="00630B25"/>
    <w:rsid w:val="00630B44"/>
    <w:rsid w:val="00630FE5"/>
    <w:rsid w:val="00632439"/>
    <w:rsid w:val="00632612"/>
    <w:rsid w:val="00633249"/>
    <w:rsid w:val="006335FD"/>
    <w:rsid w:val="00634518"/>
    <w:rsid w:val="00634C09"/>
    <w:rsid w:val="0063521B"/>
    <w:rsid w:val="006356A3"/>
    <w:rsid w:val="00635C2A"/>
    <w:rsid w:val="00635FC9"/>
    <w:rsid w:val="006361D8"/>
    <w:rsid w:val="00636B3E"/>
    <w:rsid w:val="00637AB8"/>
    <w:rsid w:val="00637C79"/>
    <w:rsid w:val="006410E1"/>
    <w:rsid w:val="0064169F"/>
    <w:rsid w:val="00641D02"/>
    <w:rsid w:val="00641DC5"/>
    <w:rsid w:val="00642AF2"/>
    <w:rsid w:val="00643234"/>
    <w:rsid w:val="006440B9"/>
    <w:rsid w:val="006443C2"/>
    <w:rsid w:val="006456A4"/>
    <w:rsid w:val="00646158"/>
    <w:rsid w:val="0064627A"/>
    <w:rsid w:val="00647974"/>
    <w:rsid w:val="0065082A"/>
    <w:rsid w:val="00650F59"/>
    <w:rsid w:val="00651009"/>
    <w:rsid w:val="006518FE"/>
    <w:rsid w:val="00652649"/>
    <w:rsid w:val="00652905"/>
    <w:rsid w:val="00652954"/>
    <w:rsid w:val="00652E82"/>
    <w:rsid w:val="0065360A"/>
    <w:rsid w:val="00653C2B"/>
    <w:rsid w:val="00655B00"/>
    <w:rsid w:val="00655CEE"/>
    <w:rsid w:val="00656BB1"/>
    <w:rsid w:val="00657E73"/>
    <w:rsid w:val="0066028B"/>
    <w:rsid w:val="00660811"/>
    <w:rsid w:val="00660ABB"/>
    <w:rsid w:val="0066174E"/>
    <w:rsid w:val="00662352"/>
    <w:rsid w:val="00664981"/>
    <w:rsid w:val="00665654"/>
    <w:rsid w:val="00667088"/>
    <w:rsid w:val="006678C5"/>
    <w:rsid w:val="006705E1"/>
    <w:rsid w:val="006721D6"/>
    <w:rsid w:val="00672278"/>
    <w:rsid w:val="00672710"/>
    <w:rsid w:val="00672DF5"/>
    <w:rsid w:val="00673749"/>
    <w:rsid w:val="00673B2C"/>
    <w:rsid w:val="006753BE"/>
    <w:rsid w:val="00675A11"/>
    <w:rsid w:val="00676972"/>
    <w:rsid w:val="00676A38"/>
    <w:rsid w:val="00676FBB"/>
    <w:rsid w:val="006770AA"/>
    <w:rsid w:val="006775C6"/>
    <w:rsid w:val="00677926"/>
    <w:rsid w:val="00677F11"/>
    <w:rsid w:val="00677FFD"/>
    <w:rsid w:val="0068032C"/>
    <w:rsid w:val="00680B65"/>
    <w:rsid w:val="00680E63"/>
    <w:rsid w:val="0068180B"/>
    <w:rsid w:val="006819F6"/>
    <w:rsid w:val="00681B6A"/>
    <w:rsid w:val="00682360"/>
    <w:rsid w:val="006823F5"/>
    <w:rsid w:val="00682968"/>
    <w:rsid w:val="00682AE7"/>
    <w:rsid w:val="00682AEA"/>
    <w:rsid w:val="00683311"/>
    <w:rsid w:val="006837E3"/>
    <w:rsid w:val="0068388B"/>
    <w:rsid w:val="00687B8F"/>
    <w:rsid w:val="0069157D"/>
    <w:rsid w:val="00691EE5"/>
    <w:rsid w:val="00692161"/>
    <w:rsid w:val="00692EA8"/>
    <w:rsid w:val="00693152"/>
    <w:rsid w:val="00693659"/>
    <w:rsid w:val="0069551F"/>
    <w:rsid w:val="006962BD"/>
    <w:rsid w:val="006A0877"/>
    <w:rsid w:val="006A1053"/>
    <w:rsid w:val="006A2B68"/>
    <w:rsid w:val="006A3F14"/>
    <w:rsid w:val="006A4F1D"/>
    <w:rsid w:val="006A6405"/>
    <w:rsid w:val="006A6666"/>
    <w:rsid w:val="006A77A0"/>
    <w:rsid w:val="006B0475"/>
    <w:rsid w:val="006B1A0D"/>
    <w:rsid w:val="006B212C"/>
    <w:rsid w:val="006B2932"/>
    <w:rsid w:val="006B438C"/>
    <w:rsid w:val="006B5C5B"/>
    <w:rsid w:val="006B6CA6"/>
    <w:rsid w:val="006B6FC3"/>
    <w:rsid w:val="006B71FA"/>
    <w:rsid w:val="006B7A8B"/>
    <w:rsid w:val="006C064A"/>
    <w:rsid w:val="006C1B00"/>
    <w:rsid w:val="006C1B89"/>
    <w:rsid w:val="006C39F2"/>
    <w:rsid w:val="006C3BBE"/>
    <w:rsid w:val="006C3E81"/>
    <w:rsid w:val="006C4FA6"/>
    <w:rsid w:val="006C5308"/>
    <w:rsid w:val="006C58DA"/>
    <w:rsid w:val="006C6642"/>
    <w:rsid w:val="006C6C81"/>
    <w:rsid w:val="006C6FF2"/>
    <w:rsid w:val="006C71AB"/>
    <w:rsid w:val="006D1993"/>
    <w:rsid w:val="006D1E60"/>
    <w:rsid w:val="006D33AC"/>
    <w:rsid w:val="006D36E8"/>
    <w:rsid w:val="006D3C1A"/>
    <w:rsid w:val="006D3FA5"/>
    <w:rsid w:val="006D40FF"/>
    <w:rsid w:val="006D455C"/>
    <w:rsid w:val="006D4E6E"/>
    <w:rsid w:val="006D61B9"/>
    <w:rsid w:val="006D66E9"/>
    <w:rsid w:val="006D7662"/>
    <w:rsid w:val="006D7AB8"/>
    <w:rsid w:val="006E13C3"/>
    <w:rsid w:val="006E1CBE"/>
    <w:rsid w:val="006E2249"/>
    <w:rsid w:val="006E29FD"/>
    <w:rsid w:val="006E35B1"/>
    <w:rsid w:val="006E3B64"/>
    <w:rsid w:val="006E41AC"/>
    <w:rsid w:val="006E461F"/>
    <w:rsid w:val="006E468B"/>
    <w:rsid w:val="006E4BEC"/>
    <w:rsid w:val="006E5B9B"/>
    <w:rsid w:val="006E5F1D"/>
    <w:rsid w:val="006E712B"/>
    <w:rsid w:val="006E79DE"/>
    <w:rsid w:val="006F1623"/>
    <w:rsid w:val="006F1C9C"/>
    <w:rsid w:val="006F24B9"/>
    <w:rsid w:val="006F2A40"/>
    <w:rsid w:val="006F327F"/>
    <w:rsid w:val="006F37C4"/>
    <w:rsid w:val="006F4618"/>
    <w:rsid w:val="006F516A"/>
    <w:rsid w:val="006F61CA"/>
    <w:rsid w:val="007007D0"/>
    <w:rsid w:val="00700896"/>
    <w:rsid w:val="0070114F"/>
    <w:rsid w:val="00701209"/>
    <w:rsid w:val="007016B4"/>
    <w:rsid w:val="007017FA"/>
    <w:rsid w:val="0070227D"/>
    <w:rsid w:val="00703F7A"/>
    <w:rsid w:val="007057E4"/>
    <w:rsid w:val="00705BA9"/>
    <w:rsid w:val="007067D2"/>
    <w:rsid w:val="007071D0"/>
    <w:rsid w:val="007076EB"/>
    <w:rsid w:val="00707874"/>
    <w:rsid w:val="0071145E"/>
    <w:rsid w:val="0071146C"/>
    <w:rsid w:val="007128EC"/>
    <w:rsid w:val="00712ED6"/>
    <w:rsid w:val="007152EE"/>
    <w:rsid w:val="00720FCD"/>
    <w:rsid w:val="00721413"/>
    <w:rsid w:val="007215CB"/>
    <w:rsid w:val="007228A6"/>
    <w:rsid w:val="00722D32"/>
    <w:rsid w:val="007239EE"/>
    <w:rsid w:val="00723B0C"/>
    <w:rsid w:val="00726659"/>
    <w:rsid w:val="00727577"/>
    <w:rsid w:val="00727C8D"/>
    <w:rsid w:val="007303FB"/>
    <w:rsid w:val="0073052A"/>
    <w:rsid w:val="00730845"/>
    <w:rsid w:val="007311C6"/>
    <w:rsid w:val="0073136F"/>
    <w:rsid w:val="00731665"/>
    <w:rsid w:val="00731DD1"/>
    <w:rsid w:val="00731FC0"/>
    <w:rsid w:val="00733376"/>
    <w:rsid w:val="00733558"/>
    <w:rsid w:val="00733764"/>
    <w:rsid w:val="007363B4"/>
    <w:rsid w:val="00736B99"/>
    <w:rsid w:val="00736E63"/>
    <w:rsid w:val="0073748E"/>
    <w:rsid w:val="00742835"/>
    <w:rsid w:val="00742D67"/>
    <w:rsid w:val="007437D3"/>
    <w:rsid w:val="00745090"/>
    <w:rsid w:val="00746BA6"/>
    <w:rsid w:val="007471BA"/>
    <w:rsid w:val="007474C5"/>
    <w:rsid w:val="0075023A"/>
    <w:rsid w:val="0075032F"/>
    <w:rsid w:val="00750C03"/>
    <w:rsid w:val="0075199B"/>
    <w:rsid w:val="007522C4"/>
    <w:rsid w:val="00752F90"/>
    <w:rsid w:val="007534C3"/>
    <w:rsid w:val="00753C3B"/>
    <w:rsid w:val="007545D7"/>
    <w:rsid w:val="00755BAB"/>
    <w:rsid w:val="007565BC"/>
    <w:rsid w:val="00756C97"/>
    <w:rsid w:val="00757F4F"/>
    <w:rsid w:val="0076012F"/>
    <w:rsid w:val="007608D0"/>
    <w:rsid w:val="0076126E"/>
    <w:rsid w:val="00761CD0"/>
    <w:rsid w:val="00763584"/>
    <w:rsid w:val="007636CC"/>
    <w:rsid w:val="0076410F"/>
    <w:rsid w:val="007646A8"/>
    <w:rsid w:val="00765721"/>
    <w:rsid w:val="00765E43"/>
    <w:rsid w:val="00766115"/>
    <w:rsid w:val="007664FA"/>
    <w:rsid w:val="00766960"/>
    <w:rsid w:val="00767258"/>
    <w:rsid w:val="00767A15"/>
    <w:rsid w:val="00767CC1"/>
    <w:rsid w:val="0077044F"/>
    <w:rsid w:val="007706F1"/>
    <w:rsid w:val="0077124C"/>
    <w:rsid w:val="00771698"/>
    <w:rsid w:val="007719A2"/>
    <w:rsid w:val="00771CE2"/>
    <w:rsid w:val="0077202B"/>
    <w:rsid w:val="00772964"/>
    <w:rsid w:val="007740E9"/>
    <w:rsid w:val="007745CF"/>
    <w:rsid w:val="00775076"/>
    <w:rsid w:val="007754BE"/>
    <w:rsid w:val="00775F66"/>
    <w:rsid w:val="007761FD"/>
    <w:rsid w:val="00777295"/>
    <w:rsid w:val="0078023F"/>
    <w:rsid w:val="00780839"/>
    <w:rsid w:val="00780B97"/>
    <w:rsid w:val="00780BAF"/>
    <w:rsid w:val="00781409"/>
    <w:rsid w:val="00781FE7"/>
    <w:rsid w:val="00782198"/>
    <w:rsid w:val="00782CD2"/>
    <w:rsid w:val="00783725"/>
    <w:rsid w:val="00783C3D"/>
    <w:rsid w:val="007846E3"/>
    <w:rsid w:val="00784A41"/>
    <w:rsid w:val="0078631F"/>
    <w:rsid w:val="00790377"/>
    <w:rsid w:val="00790DDD"/>
    <w:rsid w:val="00790E90"/>
    <w:rsid w:val="00791F32"/>
    <w:rsid w:val="0079205E"/>
    <w:rsid w:val="00792BBA"/>
    <w:rsid w:val="0079453A"/>
    <w:rsid w:val="00794DBD"/>
    <w:rsid w:val="00795923"/>
    <w:rsid w:val="007968A6"/>
    <w:rsid w:val="00797187"/>
    <w:rsid w:val="007A1BE5"/>
    <w:rsid w:val="007A2948"/>
    <w:rsid w:val="007A2CCB"/>
    <w:rsid w:val="007A40F0"/>
    <w:rsid w:val="007A4AB0"/>
    <w:rsid w:val="007A4DEA"/>
    <w:rsid w:val="007A58CA"/>
    <w:rsid w:val="007A5F87"/>
    <w:rsid w:val="007A6011"/>
    <w:rsid w:val="007A638A"/>
    <w:rsid w:val="007A6923"/>
    <w:rsid w:val="007A6F38"/>
    <w:rsid w:val="007A6FD3"/>
    <w:rsid w:val="007A720B"/>
    <w:rsid w:val="007B0057"/>
    <w:rsid w:val="007B0EC6"/>
    <w:rsid w:val="007B37E5"/>
    <w:rsid w:val="007B3A8B"/>
    <w:rsid w:val="007B3CCC"/>
    <w:rsid w:val="007B430E"/>
    <w:rsid w:val="007B4820"/>
    <w:rsid w:val="007B48F2"/>
    <w:rsid w:val="007B5CC6"/>
    <w:rsid w:val="007B7212"/>
    <w:rsid w:val="007C0883"/>
    <w:rsid w:val="007C0C8A"/>
    <w:rsid w:val="007C160E"/>
    <w:rsid w:val="007C22A4"/>
    <w:rsid w:val="007C3195"/>
    <w:rsid w:val="007C3633"/>
    <w:rsid w:val="007C4E53"/>
    <w:rsid w:val="007C4F38"/>
    <w:rsid w:val="007C6E15"/>
    <w:rsid w:val="007C754A"/>
    <w:rsid w:val="007C75CB"/>
    <w:rsid w:val="007C7824"/>
    <w:rsid w:val="007C78AA"/>
    <w:rsid w:val="007D01AD"/>
    <w:rsid w:val="007D0533"/>
    <w:rsid w:val="007D1B7C"/>
    <w:rsid w:val="007D1E2A"/>
    <w:rsid w:val="007D209E"/>
    <w:rsid w:val="007D297A"/>
    <w:rsid w:val="007D389F"/>
    <w:rsid w:val="007D39E3"/>
    <w:rsid w:val="007D4D82"/>
    <w:rsid w:val="007D526E"/>
    <w:rsid w:val="007D6726"/>
    <w:rsid w:val="007D678F"/>
    <w:rsid w:val="007D6EEE"/>
    <w:rsid w:val="007D71E1"/>
    <w:rsid w:val="007E03E0"/>
    <w:rsid w:val="007E0A23"/>
    <w:rsid w:val="007E1063"/>
    <w:rsid w:val="007E1CCC"/>
    <w:rsid w:val="007E1FB7"/>
    <w:rsid w:val="007E39C9"/>
    <w:rsid w:val="007E4191"/>
    <w:rsid w:val="007E57EC"/>
    <w:rsid w:val="007E58C0"/>
    <w:rsid w:val="007E5E57"/>
    <w:rsid w:val="007E70E6"/>
    <w:rsid w:val="007E7555"/>
    <w:rsid w:val="007E7B42"/>
    <w:rsid w:val="007F017B"/>
    <w:rsid w:val="007F0F25"/>
    <w:rsid w:val="007F4212"/>
    <w:rsid w:val="007F5E30"/>
    <w:rsid w:val="007F7560"/>
    <w:rsid w:val="007F7D3C"/>
    <w:rsid w:val="0080044A"/>
    <w:rsid w:val="00801B65"/>
    <w:rsid w:val="00802D6C"/>
    <w:rsid w:val="00803387"/>
    <w:rsid w:val="0080470C"/>
    <w:rsid w:val="008049FC"/>
    <w:rsid w:val="00805A0E"/>
    <w:rsid w:val="00805A2D"/>
    <w:rsid w:val="00805B41"/>
    <w:rsid w:val="00806442"/>
    <w:rsid w:val="00806772"/>
    <w:rsid w:val="0080684A"/>
    <w:rsid w:val="008073CA"/>
    <w:rsid w:val="0080770D"/>
    <w:rsid w:val="008079CC"/>
    <w:rsid w:val="00810B3C"/>
    <w:rsid w:val="0081103B"/>
    <w:rsid w:val="0081108B"/>
    <w:rsid w:val="00812077"/>
    <w:rsid w:val="008127F1"/>
    <w:rsid w:val="008127F9"/>
    <w:rsid w:val="008142F8"/>
    <w:rsid w:val="008153BD"/>
    <w:rsid w:val="00815656"/>
    <w:rsid w:val="00816478"/>
    <w:rsid w:val="00820225"/>
    <w:rsid w:val="00820B60"/>
    <w:rsid w:val="00821BEE"/>
    <w:rsid w:val="008224B2"/>
    <w:rsid w:val="008226A4"/>
    <w:rsid w:val="00823666"/>
    <w:rsid w:val="008242C4"/>
    <w:rsid w:val="0082665E"/>
    <w:rsid w:val="008268B8"/>
    <w:rsid w:val="008270D7"/>
    <w:rsid w:val="00827704"/>
    <w:rsid w:val="008306B9"/>
    <w:rsid w:val="00830EE3"/>
    <w:rsid w:val="0083117D"/>
    <w:rsid w:val="00831537"/>
    <w:rsid w:val="00831A39"/>
    <w:rsid w:val="00831DE3"/>
    <w:rsid w:val="0083204C"/>
    <w:rsid w:val="00832361"/>
    <w:rsid w:val="0083444A"/>
    <w:rsid w:val="0083573A"/>
    <w:rsid w:val="0083777C"/>
    <w:rsid w:val="00840264"/>
    <w:rsid w:val="00841230"/>
    <w:rsid w:val="00841B8E"/>
    <w:rsid w:val="00842056"/>
    <w:rsid w:val="00842BFA"/>
    <w:rsid w:val="00845741"/>
    <w:rsid w:val="0084579F"/>
    <w:rsid w:val="00845CA5"/>
    <w:rsid w:val="0084622F"/>
    <w:rsid w:val="00846E4F"/>
    <w:rsid w:val="00847AB8"/>
    <w:rsid w:val="00847B59"/>
    <w:rsid w:val="008502B0"/>
    <w:rsid w:val="00850842"/>
    <w:rsid w:val="008546DB"/>
    <w:rsid w:val="00855492"/>
    <w:rsid w:val="00855B47"/>
    <w:rsid w:val="00856540"/>
    <w:rsid w:val="00856564"/>
    <w:rsid w:val="00856E57"/>
    <w:rsid w:val="0085733F"/>
    <w:rsid w:val="0085766C"/>
    <w:rsid w:val="00862218"/>
    <w:rsid w:val="008624B8"/>
    <w:rsid w:val="008627A6"/>
    <w:rsid w:val="008636D2"/>
    <w:rsid w:val="00864429"/>
    <w:rsid w:val="0086538B"/>
    <w:rsid w:val="0086554B"/>
    <w:rsid w:val="00865F0A"/>
    <w:rsid w:val="00866040"/>
    <w:rsid w:val="008668BB"/>
    <w:rsid w:val="00871EE8"/>
    <w:rsid w:val="00873B99"/>
    <w:rsid w:val="008757BB"/>
    <w:rsid w:val="00876171"/>
    <w:rsid w:val="00876C7E"/>
    <w:rsid w:val="00876D0D"/>
    <w:rsid w:val="00877063"/>
    <w:rsid w:val="00877B3A"/>
    <w:rsid w:val="00880331"/>
    <w:rsid w:val="00883215"/>
    <w:rsid w:val="008840D2"/>
    <w:rsid w:val="008847A4"/>
    <w:rsid w:val="0088574D"/>
    <w:rsid w:val="00885AD6"/>
    <w:rsid w:val="00885E89"/>
    <w:rsid w:val="008864C1"/>
    <w:rsid w:val="008864F1"/>
    <w:rsid w:val="00887609"/>
    <w:rsid w:val="008878A1"/>
    <w:rsid w:val="0088790D"/>
    <w:rsid w:val="0089017D"/>
    <w:rsid w:val="00890B9A"/>
    <w:rsid w:val="00891942"/>
    <w:rsid w:val="00891AC3"/>
    <w:rsid w:val="008926CE"/>
    <w:rsid w:val="0089287E"/>
    <w:rsid w:val="00892DB6"/>
    <w:rsid w:val="00895570"/>
    <w:rsid w:val="00895724"/>
    <w:rsid w:val="00895843"/>
    <w:rsid w:val="00896088"/>
    <w:rsid w:val="008965BC"/>
    <w:rsid w:val="00896E1F"/>
    <w:rsid w:val="0089709E"/>
    <w:rsid w:val="008A1ECF"/>
    <w:rsid w:val="008A3361"/>
    <w:rsid w:val="008A351F"/>
    <w:rsid w:val="008A3620"/>
    <w:rsid w:val="008A41CB"/>
    <w:rsid w:val="008A430A"/>
    <w:rsid w:val="008A5079"/>
    <w:rsid w:val="008A5594"/>
    <w:rsid w:val="008A5796"/>
    <w:rsid w:val="008A75E6"/>
    <w:rsid w:val="008A7B7A"/>
    <w:rsid w:val="008B0CD5"/>
    <w:rsid w:val="008B12B1"/>
    <w:rsid w:val="008B13DA"/>
    <w:rsid w:val="008B3F2F"/>
    <w:rsid w:val="008B6814"/>
    <w:rsid w:val="008B6B66"/>
    <w:rsid w:val="008B7318"/>
    <w:rsid w:val="008B7C50"/>
    <w:rsid w:val="008C089F"/>
    <w:rsid w:val="008C18EB"/>
    <w:rsid w:val="008C27D4"/>
    <w:rsid w:val="008C330C"/>
    <w:rsid w:val="008C3451"/>
    <w:rsid w:val="008C3D59"/>
    <w:rsid w:val="008C517C"/>
    <w:rsid w:val="008C51D0"/>
    <w:rsid w:val="008C569E"/>
    <w:rsid w:val="008C619A"/>
    <w:rsid w:val="008C68EA"/>
    <w:rsid w:val="008C6E0E"/>
    <w:rsid w:val="008C71E8"/>
    <w:rsid w:val="008C7290"/>
    <w:rsid w:val="008D0464"/>
    <w:rsid w:val="008D1ECA"/>
    <w:rsid w:val="008D25F0"/>
    <w:rsid w:val="008D2C55"/>
    <w:rsid w:val="008D3656"/>
    <w:rsid w:val="008D3D6B"/>
    <w:rsid w:val="008D43FB"/>
    <w:rsid w:val="008D673A"/>
    <w:rsid w:val="008D6FF6"/>
    <w:rsid w:val="008D70E6"/>
    <w:rsid w:val="008D7408"/>
    <w:rsid w:val="008D7835"/>
    <w:rsid w:val="008D7D94"/>
    <w:rsid w:val="008E05E4"/>
    <w:rsid w:val="008E0FD8"/>
    <w:rsid w:val="008E1E56"/>
    <w:rsid w:val="008E30A8"/>
    <w:rsid w:val="008E32CF"/>
    <w:rsid w:val="008E591E"/>
    <w:rsid w:val="008E6270"/>
    <w:rsid w:val="008E653D"/>
    <w:rsid w:val="008E65AC"/>
    <w:rsid w:val="008E7BED"/>
    <w:rsid w:val="008F1A60"/>
    <w:rsid w:val="008F1DAF"/>
    <w:rsid w:val="008F21A5"/>
    <w:rsid w:val="008F27B7"/>
    <w:rsid w:val="008F3180"/>
    <w:rsid w:val="008F3E49"/>
    <w:rsid w:val="008F734B"/>
    <w:rsid w:val="008F7A55"/>
    <w:rsid w:val="00900E28"/>
    <w:rsid w:val="0090198D"/>
    <w:rsid w:val="00901BEE"/>
    <w:rsid w:val="00902F44"/>
    <w:rsid w:val="009035E2"/>
    <w:rsid w:val="009036F3"/>
    <w:rsid w:val="009037DA"/>
    <w:rsid w:val="00903FF2"/>
    <w:rsid w:val="0090434D"/>
    <w:rsid w:val="00905B8E"/>
    <w:rsid w:val="00906710"/>
    <w:rsid w:val="009109E4"/>
    <w:rsid w:val="00910D2B"/>
    <w:rsid w:val="00912DBF"/>
    <w:rsid w:val="0091333B"/>
    <w:rsid w:val="00913491"/>
    <w:rsid w:val="00913CDD"/>
    <w:rsid w:val="00913FDE"/>
    <w:rsid w:val="00914F26"/>
    <w:rsid w:val="009150D2"/>
    <w:rsid w:val="00915952"/>
    <w:rsid w:val="0091622F"/>
    <w:rsid w:val="009166B6"/>
    <w:rsid w:val="009172FA"/>
    <w:rsid w:val="009176D9"/>
    <w:rsid w:val="00917A66"/>
    <w:rsid w:val="00917DCE"/>
    <w:rsid w:val="009201E4"/>
    <w:rsid w:val="0092182E"/>
    <w:rsid w:val="00921A19"/>
    <w:rsid w:val="00921B60"/>
    <w:rsid w:val="009221D2"/>
    <w:rsid w:val="00922841"/>
    <w:rsid w:val="00922E69"/>
    <w:rsid w:val="00922FFE"/>
    <w:rsid w:val="0092308F"/>
    <w:rsid w:val="009238FB"/>
    <w:rsid w:val="009244DE"/>
    <w:rsid w:val="00925257"/>
    <w:rsid w:val="009255D4"/>
    <w:rsid w:val="0092566A"/>
    <w:rsid w:val="00925BB0"/>
    <w:rsid w:val="00925C12"/>
    <w:rsid w:val="00926E4C"/>
    <w:rsid w:val="00927024"/>
    <w:rsid w:val="00927C0B"/>
    <w:rsid w:val="00930610"/>
    <w:rsid w:val="009306B6"/>
    <w:rsid w:val="009314D9"/>
    <w:rsid w:val="009321BA"/>
    <w:rsid w:val="00932C6B"/>
    <w:rsid w:val="00933DB1"/>
    <w:rsid w:val="00934148"/>
    <w:rsid w:val="00934B64"/>
    <w:rsid w:val="00935DA9"/>
    <w:rsid w:val="00940DE4"/>
    <w:rsid w:val="00941098"/>
    <w:rsid w:val="00941F17"/>
    <w:rsid w:val="00942C25"/>
    <w:rsid w:val="00944B50"/>
    <w:rsid w:val="00944DD3"/>
    <w:rsid w:val="009457B2"/>
    <w:rsid w:val="00945AA5"/>
    <w:rsid w:val="00945F8D"/>
    <w:rsid w:val="00946397"/>
    <w:rsid w:val="009469E5"/>
    <w:rsid w:val="00946EA0"/>
    <w:rsid w:val="00947183"/>
    <w:rsid w:val="00947BCD"/>
    <w:rsid w:val="009516AA"/>
    <w:rsid w:val="00952E53"/>
    <w:rsid w:val="00953EA9"/>
    <w:rsid w:val="00954313"/>
    <w:rsid w:val="009562F5"/>
    <w:rsid w:val="00956A46"/>
    <w:rsid w:val="00957481"/>
    <w:rsid w:val="00957535"/>
    <w:rsid w:val="00957A91"/>
    <w:rsid w:val="00957D0A"/>
    <w:rsid w:val="009614D0"/>
    <w:rsid w:val="00962E24"/>
    <w:rsid w:val="00964160"/>
    <w:rsid w:val="009648A8"/>
    <w:rsid w:val="00964F7F"/>
    <w:rsid w:val="00966E01"/>
    <w:rsid w:val="009672F1"/>
    <w:rsid w:val="00967770"/>
    <w:rsid w:val="009677F4"/>
    <w:rsid w:val="009700CB"/>
    <w:rsid w:val="0097271B"/>
    <w:rsid w:val="00973569"/>
    <w:rsid w:val="00973AE5"/>
    <w:rsid w:val="00974E03"/>
    <w:rsid w:val="0097609F"/>
    <w:rsid w:val="009762CC"/>
    <w:rsid w:val="009768AA"/>
    <w:rsid w:val="00977563"/>
    <w:rsid w:val="00977777"/>
    <w:rsid w:val="00980C27"/>
    <w:rsid w:val="0098162C"/>
    <w:rsid w:val="0098257B"/>
    <w:rsid w:val="0098278E"/>
    <w:rsid w:val="00982870"/>
    <w:rsid w:val="00982985"/>
    <w:rsid w:val="009836A8"/>
    <w:rsid w:val="009847DD"/>
    <w:rsid w:val="0098504A"/>
    <w:rsid w:val="00985890"/>
    <w:rsid w:val="00986300"/>
    <w:rsid w:val="00986329"/>
    <w:rsid w:val="009863F6"/>
    <w:rsid w:val="00986988"/>
    <w:rsid w:val="00986D62"/>
    <w:rsid w:val="00987462"/>
    <w:rsid w:val="009910A0"/>
    <w:rsid w:val="00991C58"/>
    <w:rsid w:val="009923FE"/>
    <w:rsid w:val="00992481"/>
    <w:rsid w:val="00992CB1"/>
    <w:rsid w:val="00993BD6"/>
    <w:rsid w:val="00994BEA"/>
    <w:rsid w:val="00995401"/>
    <w:rsid w:val="00995534"/>
    <w:rsid w:val="00995A89"/>
    <w:rsid w:val="00995A93"/>
    <w:rsid w:val="00995E61"/>
    <w:rsid w:val="00996999"/>
    <w:rsid w:val="009A0DEF"/>
    <w:rsid w:val="009A2678"/>
    <w:rsid w:val="009A3269"/>
    <w:rsid w:val="009A3BF3"/>
    <w:rsid w:val="009A5244"/>
    <w:rsid w:val="009A52F5"/>
    <w:rsid w:val="009A58D8"/>
    <w:rsid w:val="009A5B1B"/>
    <w:rsid w:val="009A6BB6"/>
    <w:rsid w:val="009A6C62"/>
    <w:rsid w:val="009A6CB7"/>
    <w:rsid w:val="009A7537"/>
    <w:rsid w:val="009A78E8"/>
    <w:rsid w:val="009B053A"/>
    <w:rsid w:val="009B06E4"/>
    <w:rsid w:val="009B0782"/>
    <w:rsid w:val="009B08BD"/>
    <w:rsid w:val="009B0BFD"/>
    <w:rsid w:val="009B10CA"/>
    <w:rsid w:val="009B2375"/>
    <w:rsid w:val="009B307C"/>
    <w:rsid w:val="009B44E8"/>
    <w:rsid w:val="009B4791"/>
    <w:rsid w:val="009B47CB"/>
    <w:rsid w:val="009B496A"/>
    <w:rsid w:val="009B58FB"/>
    <w:rsid w:val="009B5E11"/>
    <w:rsid w:val="009B65CD"/>
    <w:rsid w:val="009B6809"/>
    <w:rsid w:val="009B6B35"/>
    <w:rsid w:val="009B6BA9"/>
    <w:rsid w:val="009B6D7A"/>
    <w:rsid w:val="009B7522"/>
    <w:rsid w:val="009B7BA1"/>
    <w:rsid w:val="009B7DD6"/>
    <w:rsid w:val="009C09D7"/>
    <w:rsid w:val="009C2092"/>
    <w:rsid w:val="009C2168"/>
    <w:rsid w:val="009C23C0"/>
    <w:rsid w:val="009C3A33"/>
    <w:rsid w:val="009C5436"/>
    <w:rsid w:val="009C596F"/>
    <w:rsid w:val="009C5B78"/>
    <w:rsid w:val="009C5DDA"/>
    <w:rsid w:val="009C5FBF"/>
    <w:rsid w:val="009C708D"/>
    <w:rsid w:val="009C751E"/>
    <w:rsid w:val="009C7BB9"/>
    <w:rsid w:val="009C7C5C"/>
    <w:rsid w:val="009D02DE"/>
    <w:rsid w:val="009D0467"/>
    <w:rsid w:val="009D14D6"/>
    <w:rsid w:val="009D1DF7"/>
    <w:rsid w:val="009D3AC9"/>
    <w:rsid w:val="009D4238"/>
    <w:rsid w:val="009D45A1"/>
    <w:rsid w:val="009D532A"/>
    <w:rsid w:val="009D53A3"/>
    <w:rsid w:val="009D5AF0"/>
    <w:rsid w:val="009D6343"/>
    <w:rsid w:val="009D6382"/>
    <w:rsid w:val="009D7215"/>
    <w:rsid w:val="009E08A1"/>
    <w:rsid w:val="009E17B0"/>
    <w:rsid w:val="009E1DB0"/>
    <w:rsid w:val="009E1ECA"/>
    <w:rsid w:val="009E27C5"/>
    <w:rsid w:val="009E3EDF"/>
    <w:rsid w:val="009E4641"/>
    <w:rsid w:val="009E494F"/>
    <w:rsid w:val="009E4B8C"/>
    <w:rsid w:val="009E4CB9"/>
    <w:rsid w:val="009E4F31"/>
    <w:rsid w:val="009E5952"/>
    <w:rsid w:val="009E5EC7"/>
    <w:rsid w:val="009E60E9"/>
    <w:rsid w:val="009E6220"/>
    <w:rsid w:val="009E648C"/>
    <w:rsid w:val="009E6C07"/>
    <w:rsid w:val="009F3694"/>
    <w:rsid w:val="009F4413"/>
    <w:rsid w:val="009F4780"/>
    <w:rsid w:val="009F56B1"/>
    <w:rsid w:val="009F6A7D"/>
    <w:rsid w:val="00A00812"/>
    <w:rsid w:val="00A01102"/>
    <w:rsid w:val="00A0514C"/>
    <w:rsid w:val="00A056E7"/>
    <w:rsid w:val="00A06669"/>
    <w:rsid w:val="00A06CCA"/>
    <w:rsid w:val="00A07766"/>
    <w:rsid w:val="00A121ED"/>
    <w:rsid w:val="00A12F5D"/>
    <w:rsid w:val="00A13C27"/>
    <w:rsid w:val="00A152AD"/>
    <w:rsid w:val="00A15497"/>
    <w:rsid w:val="00A20BA4"/>
    <w:rsid w:val="00A20DAC"/>
    <w:rsid w:val="00A21680"/>
    <w:rsid w:val="00A21C1D"/>
    <w:rsid w:val="00A21E26"/>
    <w:rsid w:val="00A22778"/>
    <w:rsid w:val="00A2288E"/>
    <w:rsid w:val="00A24211"/>
    <w:rsid w:val="00A24606"/>
    <w:rsid w:val="00A26751"/>
    <w:rsid w:val="00A26F0C"/>
    <w:rsid w:val="00A2786F"/>
    <w:rsid w:val="00A300F4"/>
    <w:rsid w:val="00A30157"/>
    <w:rsid w:val="00A31D9E"/>
    <w:rsid w:val="00A32F23"/>
    <w:rsid w:val="00A33A2F"/>
    <w:rsid w:val="00A33AEF"/>
    <w:rsid w:val="00A33B62"/>
    <w:rsid w:val="00A34A8C"/>
    <w:rsid w:val="00A35214"/>
    <w:rsid w:val="00A35F06"/>
    <w:rsid w:val="00A36A30"/>
    <w:rsid w:val="00A406A0"/>
    <w:rsid w:val="00A4170E"/>
    <w:rsid w:val="00A42AF8"/>
    <w:rsid w:val="00A42AFD"/>
    <w:rsid w:val="00A42BED"/>
    <w:rsid w:val="00A42D49"/>
    <w:rsid w:val="00A42ECA"/>
    <w:rsid w:val="00A437F4"/>
    <w:rsid w:val="00A43E60"/>
    <w:rsid w:val="00A44163"/>
    <w:rsid w:val="00A44630"/>
    <w:rsid w:val="00A449CC"/>
    <w:rsid w:val="00A45C27"/>
    <w:rsid w:val="00A46C40"/>
    <w:rsid w:val="00A4713C"/>
    <w:rsid w:val="00A477A3"/>
    <w:rsid w:val="00A47A5F"/>
    <w:rsid w:val="00A502E2"/>
    <w:rsid w:val="00A51609"/>
    <w:rsid w:val="00A526F6"/>
    <w:rsid w:val="00A52AFD"/>
    <w:rsid w:val="00A52E84"/>
    <w:rsid w:val="00A5468A"/>
    <w:rsid w:val="00A546FC"/>
    <w:rsid w:val="00A56122"/>
    <w:rsid w:val="00A56758"/>
    <w:rsid w:val="00A5703D"/>
    <w:rsid w:val="00A5754D"/>
    <w:rsid w:val="00A57E8E"/>
    <w:rsid w:val="00A609FC"/>
    <w:rsid w:val="00A6254A"/>
    <w:rsid w:val="00A628A4"/>
    <w:rsid w:val="00A63957"/>
    <w:rsid w:val="00A6490D"/>
    <w:rsid w:val="00A662FD"/>
    <w:rsid w:val="00A665AF"/>
    <w:rsid w:val="00A704F7"/>
    <w:rsid w:val="00A715BC"/>
    <w:rsid w:val="00A718D9"/>
    <w:rsid w:val="00A72869"/>
    <w:rsid w:val="00A75D22"/>
    <w:rsid w:val="00A8032A"/>
    <w:rsid w:val="00A8055D"/>
    <w:rsid w:val="00A805D9"/>
    <w:rsid w:val="00A80A58"/>
    <w:rsid w:val="00A82A7E"/>
    <w:rsid w:val="00A82B38"/>
    <w:rsid w:val="00A82D8C"/>
    <w:rsid w:val="00A83605"/>
    <w:rsid w:val="00A83B32"/>
    <w:rsid w:val="00A83F24"/>
    <w:rsid w:val="00A852B1"/>
    <w:rsid w:val="00A85402"/>
    <w:rsid w:val="00A85C6D"/>
    <w:rsid w:val="00A865C8"/>
    <w:rsid w:val="00A86A2D"/>
    <w:rsid w:val="00A86DB5"/>
    <w:rsid w:val="00A86E09"/>
    <w:rsid w:val="00A86E1C"/>
    <w:rsid w:val="00A8712B"/>
    <w:rsid w:val="00A87B19"/>
    <w:rsid w:val="00A916CA"/>
    <w:rsid w:val="00A91F96"/>
    <w:rsid w:val="00A93A63"/>
    <w:rsid w:val="00A93C7E"/>
    <w:rsid w:val="00A947B1"/>
    <w:rsid w:val="00A95C4E"/>
    <w:rsid w:val="00A95D50"/>
    <w:rsid w:val="00A97481"/>
    <w:rsid w:val="00AA0124"/>
    <w:rsid w:val="00AA025A"/>
    <w:rsid w:val="00AA0E2E"/>
    <w:rsid w:val="00AA2D68"/>
    <w:rsid w:val="00AA302E"/>
    <w:rsid w:val="00AA31EE"/>
    <w:rsid w:val="00AA381B"/>
    <w:rsid w:val="00AA3E25"/>
    <w:rsid w:val="00AA3EE2"/>
    <w:rsid w:val="00AA4963"/>
    <w:rsid w:val="00AA52D4"/>
    <w:rsid w:val="00AA5533"/>
    <w:rsid w:val="00AA584F"/>
    <w:rsid w:val="00AA5DB5"/>
    <w:rsid w:val="00AA707E"/>
    <w:rsid w:val="00AB0913"/>
    <w:rsid w:val="00AB11EF"/>
    <w:rsid w:val="00AB140C"/>
    <w:rsid w:val="00AB1883"/>
    <w:rsid w:val="00AB200B"/>
    <w:rsid w:val="00AB2EC9"/>
    <w:rsid w:val="00AB44F6"/>
    <w:rsid w:val="00AB45C4"/>
    <w:rsid w:val="00AB5510"/>
    <w:rsid w:val="00AB5ABE"/>
    <w:rsid w:val="00AB6586"/>
    <w:rsid w:val="00AB673A"/>
    <w:rsid w:val="00AB709B"/>
    <w:rsid w:val="00AB79B4"/>
    <w:rsid w:val="00AC07F8"/>
    <w:rsid w:val="00AC1B38"/>
    <w:rsid w:val="00AC2503"/>
    <w:rsid w:val="00AC2533"/>
    <w:rsid w:val="00AC36CB"/>
    <w:rsid w:val="00AC4E47"/>
    <w:rsid w:val="00AC5EA2"/>
    <w:rsid w:val="00AC66A1"/>
    <w:rsid w:val="00AC6978"/>
    <w:rsid w:val="00AC75A0"/>
    <w:rsid w:val="00AC767A"/>
    <w:rsid w:val="00AC79A7"/>
    <w:rsid w:val="00AC7ACA"/>
    <w:rsid w:val="00AD07CD"/>
    <w:rsid w:val="00AD0891"/>
    <w:rsid w:val="00AD127E"/>
    <w:rsid w:val="00AD20C3"/>
    <w:rsid w:val="00AD210C"/>
    <w:rsid w:val="00AD2282"/>
    <w:rsid w:val="00AD233D"/>
    <w:rsid w:val="00AD2A8B"/>
    <w:rsid w:val="00AD2C4E"/>
    <w:rsid w:val="00AD2FB4"/>
    <w:rsid w:val="00AD30D9"/>
    <w:rsid w:val="00AD3179"/>
    <w:rsid w:val="00AD3197"/>
    <w:rsid w:val="00AD5067"/>
    <w:rsid w:val="00AE0928"/>
    <w:rsid w:val="00AE1DE5"/>
    <w:rsid w:val="00AE54D0"/>
    <w:rsid w:val="00AE6AAD"/>
    <w:rsid w:val="00AE79AA"/>
    <w:rsid w:val="00AF0EE5"/>
    <w:rsid w:val="00AF1DDE"/>
    <w:rsid w:val="00AF2CA9"/>
    <w:rsid w:val="00AF2D6E"/>
    <w:rsid w:val="00AF320B"/>
    <w:rsid w:val="00AF5804"/>
    <w:rsid w:val="00AF5C33"/>
    <w:rsid w:val="00AF5F2B"/>
    <w:rsid w:val="00AF6331"/>
    <w:rsid w:val="00AF6764"/>
    <w:rsid w:val="00AF69B4"/>
    <w:rsid w:val="00AF79B1"/>
    <w:rsid w:val="00B00721"/>
    <w:rsid w:val="00B00CEA"/>
    <w:rsid w:val="00B01CA8"/>
    <w:rsid w:val="00B02C90"/>
    <w:rsid w:val="00B0476F"/>
    <w:rsid w:val="00B04E91"/>
    <w:rsid w:val="00B10C09"/>
    <w:rsid w:val="00B12023"/>
    <w:rsid w:val="00B12666"/>
    <w:rsid w:val="00B12E58"/>
    <w:rsid w:val="00B13A77"/>
    <w:rsid w:val="00B149A3"/>
    <w:rsid w:val="00B14F6D"/>
    <w:rsid w:val="00B159EE"/>
    <w:rsid w:val="00B15C23"/>
    <w:rsid w:val="00B16456"/>
    <w:rsid w:val="00B20E9F"/>
    <w:rsid w:val="00B21719"/>
    <w:rsid w:val="00B21906"/>
    <w:rsid w:val="00B21D5D"/>
    <w:rsid w:val="00B21D71"/>
    <w:rsid w:val="00B2348D"/>
    <w:rsid w:val="00B23DD0"/>
    <w:rsid w:val="00B23F62"/>
    <w:rsid w:val="00B24864"/>
    <w:rsid w:val="00B2486F"/>
    <w:rsid w:val="00B25AE5"/>
    <w:rsid w:val="00B274C5"/>
    <w:rsid w:val="00B30141"/>
    <w:rsid w:val="00B327E6"/>
    <w:rsid w:val="00B32B30"/>
    <w:rsid w:val="00B34BA2"/>
    <w:rsid w:val="00B34E2F"/>
    <w:rsid w:val="00B35E2F"/>
    <w:rsid w:val="00B40927"/>
    <w:rsid w:val="00B419EA"/>
    <w:rsid w:val="00B41A16"/>
    <w:rsid w:val="00B41C05"/>
    <w:rsid w:val="00B42273"/>
    <w:rsid w:val="00B42858"/>
    <w:rsid w:val="00B42D57"/>
    <w:rsid w:val="00B42E68"/>
    <w:rsid w:val="00B4375D"/>
    <w:rsid w:val="00B442F4"/>
    <w:rsid w:val="00B4493F"/>
    <w:rsid w:val="00B46A52"/>
    <w:rsid w:val="00B47E86"/>
    <w:rsid w:val="00B512A2"/>
    <w:rsid w:val="00B5239D"/>
    <w:rsid w:val="00B53991"/>
    <w:rsid w:val="00B54221"/>
    <w:rsid w:val="00B55A54"/>
    <w:rsid w:val="00B55B01"/>
    <w:rsid w:val="00B55F8B"/>
    <w:rsid w:val="00B56119"/>
    <w:rsid w:val="00B56680"/>
    <w:rsid w:val="00B57374"/>
    <w:rsid w:val="00B60A08"/>
    <w:rsid w:val="00B6175C"/>
    <w:rsid w:val="00B61A21"/>
    <w:rsid w:val="00B61FDD"/>
    <w:rsid w:val="00B634B5"/>
    <w:rsid w:val="00B639BF"/>
    <w:rsid w:val="00B64305"/>
    <w:rsid w:val="00B64A28"/>
    <w:rsid w:val="00B64BAF"/>
    <w:rsid w:val="00B64ED5"/>
    <w:rsid w:val="00B654BD"/>
    <w:rsid w:val="00B655BD"/>
    <w:rsid w:val="00B663AB"/>
    <w:rsid w:val="00B6755A"/>
    <w:rsid w:val="00B71542"/>
    <w:rsid w:val="00B71A34"/>
    <w:rsid w:val="00B71EB0"/>
    <w:rsid w:val="00B72729"/>
    <w:rsid w:val="00B72842"/>
    <w:rsid w:val="00B7341C"/>
    <w:rsid w:val="00B74ADA"/>
    <w:rsid w:val="00B74FA2"/>
    <w:rsid w:val="00B7579E"/>
    <w:rsid w:val="00B776A9"/>
    <w:rsid w:val="00B77803"/>
    <w:rsid w:val="00B80C18"/>
    <w:rsid w:val="00B8122C"/>
    <w:rsid w:val="00B81CDF"/>
    <w:rsid w:val="00B81D37"/>
    <w:rsid w:val="00B826A2"/>
    <w:rsid w:val="00B82AB9"/>
    <w:rsid w:val="00B82F04"/>
    <w:rsid w:val="00B837BE"/>
    <w:rsid w:val="00B8392C"/>
    <w:rsid w:val="00B8452B"/>
    <w:rsid w:val="00B85CE6"/>
    <w:rsid w:val="00B87B98"/>
    <w:rsid w:val="00B87C74"/>
    <w:rsid w:val="00B90831"/>
    <w:rsid w:val="00B908BE"/>
    <w:rsid w:val="00B90B96"/>
    <w:rsid w:val="00B91CDB"/>
    <w:rsid w:val="00B9216A"/>
    <w:rsid w:val="00B921D2"/>
    <w:rsid w:val="00B9299D"/>
    <w:rsid w:val="00B9394E"/>
    <w:rsid w:val="00B93DF8"/>
    <w:rsid w:val="00B940D5"/>
    <w:rsid w:val="00B9487C"/>
    <w:rsid w:val="00B9564E"/>
    <w:rsid w:val="00B95B07"/>
    <w:rsid w:val="00B95C3D"/>
    <w:rsid w:val="00B963C7"/>
    <w:rsid w:val="00B974FA"/>
    <w:rsid w:val="00B9778C"/>
    <w:rsid w:val="00BA099F"/>
    <w:rsid w:val="00BA0B24"/>
    <w:rsid w:val="00BA0EB6"/>
    <w:rsid w:val="00BA14C7"/>
    <w:rsid w:val="00BA3564"/>
    <w:rsid w:val="00BA58FC"/>
    <w:rsid w:val="00BA7687"/>
    <w:rsid w:val="00BA7B52"/>
    <w:rsid w:val="00BA7D1E"/>
    <w:rsid w:val="00BB0269"/>
    <w:rsid w:val="00BB05D0"/>
    <w:rsid w:val="00BB108D"/>
    <w:rsid w:val="00BB1DB0"/>
    <w:rsid w:val="00BB4B45"/>
    <w:rsid w:val="00BB6891"/>
    <w:rsid w:val="00BB69D7"/>
    <w:rsid w:val="00BB7111"/>
    <w:rsid w:val="00BB7F7F"/>
    <w:rsid w:val="00BB7FC0"/>
    <w:rsid w:val="00BC0524"/>
    <w:rsid w:val="00BC36E7"/>
    <w:rsid w:val="00BC3832"/>
    <w:rsid w:val="00BC3D75"/>
    <w:rsid w:val="00BC4677"/>
    <w:rsid w:val="00BC5497"/>
    <w:rsid w:val="00BC6FC8"/>
    <w:rsid w:val="00BC7157"/>
    <w:rsid w:val="00BC7844"/>
    <w:rsid w:val="00BC7A66"/>
    <w:rsid w:val="00BC7F2F"/>
    <w:rsid w:val="00BD14DA"/>
    <w:rsid w:val="00BD1CD3"/>
    <w:rsid w:val="00BD2392"/>
    <w:rsid w:val="00BD31A9"/>
    <w:rsid w:val="00BD3206"/>
    <w:rsid w:val="00BD33BE"/>
    <w:rsid w:val="00BD3F51"/>
    <w:rsid w:val="00BD4516"/>
    <w:rsid w:val="00BD4F73"/>
    <w:rsid w:val="00BE013B"/>
    <w:rsid w:val="00BE17AC"/>
    <w:rsid w:val="00BE2623"/>
    <w:rsid w:val="00BE387E"/>
    <w:rsid w:val="00BE492E"/>
    <w:rsid w:val="00BE4BCA"/>
    <w:rsid w:val="00BE54FC"/>
    <w:rsid w:val="00BE5B56"/>
    <w:rsid w:val="00BE694C"/>
    <w:rsid w:val="00BE764D"/>
    <w:rsid w:val="00BF2805"/>
    <w:rsid w:val="00BF323F"/>
    <w:rsid w:val="00BF3414"/>
    <w:rsid w:val="00BF51B3"/>
    <w:rsid w:val="00BF52C8"/>
    <w:rsid w:val="00BF5BB5"/>
    <w:rsid w:val="00BF5F95"/>
    <w:rsid w:val="00BF66F7"/>
    <w:rsid w:val="00BF6A3D"/>
    <w:rsid w:val="00BF7245"/>
    <w:rsid w:val="00BF760C"/>
    <w:rsid w:val="00BF7617"/>
    <w:rsid w:val="00BF7E21"/>
    <w:rsid w:val="00BF7E98"/>
    <w:rsid w:val="00C003D1"/>
    <w:rsid w:val="00C00C33"/>
    <w:rsid w:val="00C01B42"/>
    <w:rsid w:val="00C01F57"/>
    <w:rsid w:val="00C02606"/>
    <w:rsid w:val="00C03AA4"/>
    <w:rsid w:val="00C040B5"/>
    <w:rsid w:val="00C045A0"/>
    <w:rsid w:val="00C05A38"/>
    <w:rsid w:val="00C05ADD"/>
    <w:rsid w:val="00C06AC6"/>
    <w:rsid w:val="00C12499"/>
    <w:rsid w:val="00C13BB7"/>
    <w:rsid w:val="00C152B1"/>
    <w:rsid w:val="00C15821"/>
    <w:rsid w:val="00C17C75"/>
    <w:rsid w:val="00C22938"/>
    <w:rsid w:val="00C24D17"/>
    <w:rsid w:val="00C24DF9"/>
    <w:rsid w:val="00C26AB0"/>
    <w:rsid w:val="00C30505"/>
    <w:rsid w:val="00C32884"/>
    <w:rsid w:val="00C32AE3"/>
    <w:rsid w:val="00C32F88"/>
    <w:rsid w:val="00C3375D"/>
    <w:rsid w:val="00C341DD"/>
    <w:rsid w:val="00C35161"/>
    <w:rsid w:val="00C36423"/>
    <w:rsid w:val="00C36A4E"/>
    <w:rsid w:val="00C36D1C"/>
    <w:rsid w:val="00C36D5D"/>
    <w:rsid w:val="00C378AA"/>
    <w:rsid w:val="00C37AC3"/>
    <w:rsid w:val="00C37E00"/>
    <w:rsid w:val="00C37EF3"/>
    <w:rsid w:val="00C401B4"/>
    <w:rsid w:val="00C419A4"/>
    <w:rsid w:val="00C420ED"/>
    <w:rsid w:val="00C4302F"/>
    <w:rsid w:val="00C44534"/>
    <w:rsid w:val="00C4565F"/>
    <w:rsid w:val="00C458EC"/>
    <w:rsid w:val="00C46C90"/>
    <w:rsid w:val="00C472DE"/>
    <w:rsid w:val="00C5065D"/>
    <w:rsid w:val="00C507B8"/>
    <w:rsid w:val="00C507F8"/>
    <w:rsid w:val="00C50B4B"/>
    <w:rsid w:val="00C511A0"/>
    <w:rsid w:val="00C5188B"/>
    <w:rsid w:val="00C524A1"/>
    <w:rsid w:val="00C5276D"/>
    <w:rsid w:val="00C537EE"/>
    <w:rsid w:val="00C54913"/>
    <w:rsid w:val="00C54918"/>
    <w:rsid w:val="00C55985"/>
    <w:rsid w:val="00C56565"/>
    <w:rsid w:val="00C570A4"/>
    <w:rsid w:val="00C57FCE"/>
    <w:rsid w:val="00C601BD"/>
    <w:rsid w:val="00C6025F"/>
    <w:rsid w:val="00C61419"/>
    <w:rsid w:val="00C61FB7"/>
    <w:rsid w:val="00C62197"/>
    <w:rsid w:val="00C6266B"/>
    <w:rsid w:val="00C6288F"/>
    <w:rsid w:val="00C62B91"/>
    <w:rsid w:val="00C62DE6"/>
    <w:rsid w:val="00C63CF0"/>
    <w:rsid w:val="00C7022C"/>
    <w:rsid w:val="00C7067B"/>
    <w:rsid w:val="00C70682"/>
    <w:rsid w:val="00C72842"/>
    <w:rsid w:val="00C7348A"/>
    <w:rsid w:val="00C7462A"/>
    <w:rsid w:val="00C75A5B"/>
    <w:rsid w:val="00C75D96"/>
    <w:rsid w:val="00C75E12"/>
    <w:rsid w:val="00C769EB"/>
    <w:rsid w:val="00C777AE"/>
    <w:rsid w:val="00C80A19"/>
    <w:rsid w:val="00C812B0"/>
    <w:rsid w:val="00C813BF"/>
    <w:rsid w:val="00C81627"/>
    <w:rsid w:val="00C81BB3"/>
    <w:rsid w:val="00C82A06"/>
    <w:rsid w:val="00C82C11"/>
    <w:rsid w:val="00C8304C"/>
    <w:rsid w:val="00C83472"/>
    <w:rsid w:val="00C8532C"/>
    <w:rsid w:val="00C858EE"/>
    <w:rsid w:val="00C85FFA"/>
    <w:rsid w:val="00C86EF9"/>
    <w:rsid w:val="00C86FDC"/>
    <w:rsid w:val="00C91F1D"/>
    <w:rsid w:val="00C9257A"/>
    <w:rsid w:val="00C95E5D"/>
    <w:rsid w:val="00C972BD"/>
    <w:rsid w:val="00C974D6"/>
    <w:rsid w:val="00C97D28"/>
    <w:rsid w:val="00CA23EA"/>
    <w:rsid w:val="00CA29E7"/>
    <w:rsid w:val="00CA3214"/>
    <w:rsid w:val="00CA424B"/>
    <w:rsid w:val="00CA56AB"/>
    <w:rsid w:val="00CA5C2A"/>
    <w:rsid w:val="00CA70DF"/>
    <w:rsid w:val="00CA7312"/>
    <w:rsid w:val="00CB03C5"/>
    <w:rsid w:val="00CB0B4C"/>
    <w:rsid w:val="00CB1204"/>
    <w:rsid w:val="00CB17A7"/>
    <w:rsid w:val="00CB32CB"/>
    <w:rsid w:val="00CB446F"/>
    <w:rsid w:val="00CB56FD"/>
    <w:rsid w:val="00CB5CE3"/>
    <w:rsid w:val="00CB6DDA"/>
    <w:rsid w:val="00CB6DE1"/>
    <w:rsid w:val="00CB7222"/>
    <w:rsid w:val="00CB7974"/>
    <w:rsid w:val="00CC179C"/>
    <w:rsid w:val="00CC2296"/>
    <w:rsid w:val="00CC34DF"/>
    <w:rsid w:val="00CC507F"/>
    <w:rsid w:val="00CC5515"/>
    <w:rsid w:val="00CC5640"/>
    <w:rsid w:val="00CC6D7D"/>
    <w:rsid w:val="00CC71B8"/>
    <w:rsid w:val="00CD0BDB"/>
    <w:rsid w:val="00CD144F"/>
    <w:rsid w:val="00CD234B"/>
    <w:rsid w:val="00CD256B"/>
    <w:rsid w:val="00CD295E"/>
    <w:rsid w:val="00CD32C7"/>
    <w:rsid w:val="00CD488B"/>
    <w:rsid w:val="00CD4C74"/>
    <w:rsid w:val="00CD5A53"/>
    <w:rsid w:val="00CD6BE7"/>
    <w:rsid w:val="00CD74DF"/>
    <w:rsid w:val="00CE0E22"/>
    <w:rsid w:val="00CE117F"/>
    <w:rsid w:val="00CE3EC0"/>
    <w:rsid w:val="00CE3FE0"/>
    <w:rsid w:val="00CE4866"/>
    <w:rsid w:val="00CE4B33"/>
    <w:rsid w:val="00CE5206"/>
    <w:rsid w:val="00CE5A95"/>
    <w:rsid w:val="00CE5F6B"/>
    <w:rsid w:val="00CE6FF0"/>
    <w:rsid w:val="00CE7BCC"/>
    <w:rsid w:val="00CF1CAA"/>
    <w:rsid w:val="00CF1D1C"/>
    <w:rsid w:val="00CF1FF4"/>
    <w:rsid w:val="00CF2B4E"/>
    <w:rsid w:val="00CF4BA0"/>
    <w:rsid w:val="00CF5CF9"/>
    <w:rsid w:val="00CF6646"/>
    <w:rsid w:val="00CF678F"/>
    <w:rsid w:val="00D0138C"/>
    <w:rsid w:val="00D01A3E"/>
    <w:rsid w:val="00D01B15"/>
    <w:rsid w:val="00D02260"/>
    <w:rsid w:val="00D0233C"/>
    <w:rsid w:val="00D0310E"/>
    <w:rsid w:val="00D03CD9"/>
    <w:rsid w:val="00D03E91"/>
    <w:rsid w:val="00D047E8"/>
    <w:rsid w:val="00D04D45"/>
    <w:rsid w:val="00D04EEE"/>
    <w:rsid w:val="00D057B7"/>
    <w:rsid w:val="00D05EB6"/>
    <w:rsid w:val="00D11085"/>
    <w:rsid w:val="00D1119C"/>
    <w:rsid w:val="00D113BC"/>
    <w:rsid w:val="00D12663"/>
    <w:rsid w:val="00D12B81"/>
    <w:rsid w:val="00D13AE4"/>
    <w:rsid w:val="00D1496E"/>
    <w:rsid w:val="00D14978"/>
    <w:rsid w:val="00D14C32"/>
    <w:rsid w:val="00D15576"/>
    <w:rsid w:val="00D15A28"/>
    <w:rsid w:val="00D15C2A"/>
    <w:rsid w:val="00D17FB9"/>
    <w:rsid w:val="00D2044F"/>
    <w:rsid w:val="00D209DE"/>
    <w:rsid w:val="00D2119C"/>
    <w:rsid w:val="00D21F2E"/>
    <w:rsid w:val="00D238B2"/>
    <w:rsid w:val="00D252FB"/>
    <w:rsid w:val="00D2708B"/>
    <w:rsid w:val="00D2736E"/>
    <w:rsid w:val="00D27DA4"/>
    <w:rsid w:val="00D27E5F"/>
    <w:rsid w:val="00D30305"/>
    <w:rsid w:val="00D31684"/>
    <w:rsid w:val="00D319D7"/>
    <w:rsid w:val="00D31A5A"/>
    <w:rsid w:val="00D31B95"/>
    <w:rsid w:val="00D31D2A"/>
    <w:rsid w:val="00D3204E"/>
    <w:rsid w:val="00D32231"/>
    <w:rsid w:val="00D32539"/>
    <w:rsid w:val="00D33703"/>
    <w:rsid w:val="00D33D65"/>
    <w:rsid w:val="00D34E4C"/>
    <w:rsid w:val="00D35936"/>
    <w:rsid w:val="00D36C18"/>
    <w:rsid w:val="00D373C9"/>
    <w:rsid w:val="00D37534"/>
    <w:rsid w:val="00D3764B"/>
    <w:rsid w:val="00D3769D"/>
    <w:rsid w:val="00D378B1"/>
    <w:rsid w:val="00D408F5"/>
    <w:rsid w:val="00D40BF3"/>
    <w:rsid w:val="00D40C59"/>
    <w:rsid w:val="00D4190A"/>
    <w:rsid w:val="00D424AD"/>
    <w:rsid w:val="00D424E4"/>
    <w:rsid w:val="00D42CEE"/>
    <w:rsid w:val="00D44010"/>
    <w:rsid w:val="00D448AD"/>
    <w:rsid w:val="00D4537A"/>
    <w:rsid w:val="00D469BB"/>
    <w:rsid w:val="00D5013E"/>
    <w:rsid w:val="00D50FB3"/>
    <w:rsid w:val="00D51531"/>
    <w:rsid w:val="00D517CD"/>
    <w:rsid w:val="00D51E01"/>
    <w:rsid w:val="00D53B22"/>
    <w:rsid w:val="00D542B4"/>
    <w:rsid w:val="00D548F3"/>
    <w:rsid w:val="00D5566D"/>
    <w:rsid w:val="00D55EA5"/>
    <w:rsid w:val="00D56845"/>
    <w:rsid w:val="00D572C0"/>
    <w:rsid w:val="00D573A9"/>
    <w:rsid w:val="00D574F1"/>
    <w:rsid w:val="00D60157"/>
    <w:rsid w:val="00D60536"/>
    <w:rsid w:val="00D60664"/>
    <w:rsid w:val="00D60F62"/>
    <w:rsid w:val="00D613BD"/>
    <w:rsid w:val="00D6210D"/>
    <w:rsid w:val="00D62274"/>
    <w:rsid w:val="00D6362E"/>
    <w:rsid w:val="00D6366D"/>
    <w:rsid w:val="00D64729"/>
    <w:rsid w:val="00D64F96"/>
    <w:rsid w:val="00D64FAF"/>
    <w:rsid w:val="00D6506A"/>
    <w:rsid w:val="00D666AC"/>
    <w:rsid w:val="00D67DFF"/>
    <w:rsid w:val="00D728F3"/>
    <w:rsid w:val="00D72A1A"/>
    <w:rsid w:val="00D735C8"/>
    <w:rsid w:val="00D7469A"/>
    <w:rsid w:val="00D74929"/>
    <w:rsid w:val="00D749E1"/>
    <w:rsid w:val="00D75A24"/>
    <w:rsid w:val="00D75EB3"/>
    <w:rsid w:val="00D7687E"/>
    <w:rsid w:val="00D76AB4"/>
    <w:rsid w:val="00D77426"/>
    <w:rsid w:val="00D77E55"/>
    <w:rsid w:val="00D81069"/>
    <w:rsid w:val="00D81165"/>
    <w:rsid w:val="00D812A7"/>
    <w:rsid w:val="00D8135D"/>
    <w:rsid w:val="00D8352A"/>
    <w:rsid w:val="00D839E8"/>
    <w:rsid w:val="00D83D48"/>
    <w:rsid w:val="00D85978"/>
    <w:rsid w:val="00D85C4B"/>
    <w:rsid w:val="00D8640B"/>
    <w:rsid w:val="00D86D37"/>
    <w:rsid w:val="00D8773E"/>
    <w:rsid w:val="00D91D3E"/>
    <w:rsid w:val="00D9288B"/>
    <w:rsid w:val="00D93740"/>
    <w:rsid w:val="00D93809"/>
    <w:rsid w:val="00D955E6"/>
    <w:rsid w:val="00D96466"/>
    <w:rsid w:val="00D97564"/>
    <w:rsid w:val="00D97711"/>
    <w:rsid w:val="00DA2235"/>
    <w:rsid w:val="00DA3F7A"/>
    <w:rsid w:val="00DA4145"/>
    <w:rsid w:val="00DA4E9D"/>
    <w:rsid w:val="00DA5CF1"/>
    <w:rsid w:val="00DA675B"/>
    <w:rsid w:val="00DB0329"/>
    <w:rsid w:val="00DB0489"/>
    <w:rsid w:val="00DB177D"/>
    <w:rsid w:val="00DB232B"/>
    <w:rsid w:val="00DB3B19"/>
    <w:rsid w:val="00DB3F98"/>
    <w:rsid w:val="00DB42CC"/>
    <w:rsid w:val="00DB481C"/>
    <w:rsid w:val="00DB4C98"/>
    <w:rsid w:val="00DB4E13"/>
    <w:rsid w:val="00DB505D"/>
    <w:rsid w:val="00DB5E43"/>
    <w:rsid w:val="00DB62EF"/>
    <w:rsid w:val="00DB7A77"/>
    <w:rsid w:val="00DC09AA"/>
    <w:rsid w:val="00DC14B3"/>
    <w:rsid w:val="00DC394C"/>
    <w:rsid w:val="00DC4719"/>
    <w:rsid w:val="00DC4A7D"/>
    <w:rsid w:val="00DC51C7"/>
    <w:rsid w:val="00DC5656"/>
    <w:rsid w:val="00DC589A"/>
    <w:rsid w:val="00DC5AC9"/>
    <w:rsid w:val="00DC64CD"/>
    <w:rsid w:val="00DC7675"/>
    <w:rsid w:val="00DC7BA2"/>
    <w:rsid w:val="00DC7F0B"/>
    <w:rsid w:val="00DC7FAB"/>
    <w:rsid w:val="00DD005D"/>
    <w:rsid w:val="00DD0C2E"/>
    <w:rsid w:val="00DD1CFD"/>
    <w:rsid w:val="00DD2041"/>
    <w:rsid w:val="00DD20B9"/>
    <w:rsid w:val="00DD2460"/>
    <w:rsid w:val="00DD2865"/>
    <w:rsid w:val="00DD3643"/>
    <w:rsid w:val="00DD390D"/>
    <w:rsid w:val="00DD3B68"/>
    <w:rsid w:val="00DD3F93"/>
    <w:rsid w:val="00DD40A8"/>
    <w:rsid w:val="00DD557A"/>
    <w:rsid w:val="00DD6DB5"/>
    <w:rsid w:val="00DD7404"/>
    <w:rsid w:val="00DD740E"/>
    <w:rsid w:val="00DE0883"/>
    <w:rsid w:val="00DE0D06"/>
    <w:rsid w:val="00DE17B3"/>
    <w:rsid w:val="00DE1DC1"/>
    <w:rsid w:val="00DE42DF"/>
    <w:rsid w:val="00DE4F79"/>
    <w:rsid w:val="00DE52DF"/>
    <w:rsid w:val="00DE61BB"/>
    <w:rsid w:val="00DE6C3F"/>
    <w:rsid w:val="00DE701A"/>
    <w:rsid w:val="00DE780A"/>
    <w:rsid w:val="00DE7CC3"/>
    <w:rsid w:val="00DF133C"/>
    <w:rsid w:val="00DF14F1"/>
    <w:rsid w:val="00DF1B98"/>
    <w:rsid w:val="00DF2506"/>
    <w:rsid w:val="00DF3062"/>
    <w:rsid w:val="00DF3359"/>
    <w:rsid w:val="00DF34AB"/>
    <w:rsid w:val="00DF51F6"/>
    <w:rsid w:val="00DF6084"/>
    <w:rsid w:val="00DF6D75"/>
    <w:rsid w:val="00DF6DA4"/>
    <w:rsid w:val="00E004C1"/>
    <w:rsid w:val="00E00FDE"/>
    <w:rsid w:val="00E0258B"/>
    <w:rsid w:val="00E026EA"/>
    <w:rsid w:val="00E026EC"/>
    <w:rsid w:val="00E02D33"/>
    <w:rsid w:val="00E0378B"/>
    <w:rsid w:val="00E03BB2"/>
    <w:rsid w:val="00E043CC"/>
    <w:rsid w:val="00E0453C"/>
    <w:rsid w:val="00E05562"/>
    <w:rsid w:val="00E06D83"/>
    <w:rsid w:val="00E07F2A"/>
    <w:rsid w:val="00E10285"/>
    <w:rsid w:val="00E11118"/>
    <w:rsid w:val="00E11981"/>
    <w:rsid w:val="00E13C62"/>
    <w:rsid w:val="00E148A1"/>
    <w:rsid w:val="00E14975"/>
    <w:rsid w:val="00E14D53"/>
    <w:rsid w:val="00E15553"/>
    <w:rsid w:val="00E156BD"/>
    <w:rsid w:val="00E15B58"/>
    <w:rsid w:val="00E162BB"/>
    <w:rsid w:val="00E2227D"/>
    <w:rsid w:val="00E22AA0"/>
    <w:rsid w:val="00E2405B"/>
    <w:rsid w:val="00E24848"/>
    <w:rsid w:val="00E300BE"/>
    <w:rsid w:val="00E30227"/>
    <w:rsid w:val="00E32966"/>
    <w:rsid w:val="00E32CF7"/>
    <w:rsid w:val="00E3386C"/>
    <w:rsid w:val="00E343C3"/>
    <w:rsid w:val="00E34683"/>
    <w:rsid w:val="00E35854"/>
    <w:rsid w:val="00E35D21"/>
    <w:rsid w:val="00E36D05"/>
    <w:rsid w:val="00E4034B"/>
    <w:rsid w:val="00E40D69"/>
    <w:rsid w:val="00E42949"/>
    <w:rsid w:val="00E42A5B"/>
    <w:rsid w:val="00E43148"/>
    <w:rsid w:val="00E441B0"/>
    <w:rsid w:val="00E44BA7"/>
    <w:rsid w:val="00E4503C"/>
    <w:rsid w:val="00E45F3D"/>
    <w:rsid w:val="00E46DC2"/>
    <w:rsid w:val="00E51934"/>
    <w:rsid w:val="00E524F6"/>
    <w:rsid w:val="00E541A9"/>
    <w:rsid w:val="00E54313"/>
    <w:rsid w:val="00E55368"/>
    <w:rsid w:val="00E571F8"/>
    <w:rsid w:val="00E57238"/>
    <w:rsid w:val="00E60A51"/>
    <w:rsid w:val="00E621FD"/>
    <w:rsid w:val="00E62531"/>
    <w:rsid w:val="00E6458B"/>
    <w:rsid w:val="00E6492E"/>
    <w:rsid w:val="00E66040"/>
    <w:rsid w:val="00E66CBC"/>
    <w:rsid w:val="00E704E1"/>
    <w:rsid w:val="00E70C0F"/>
    <w:rsid w:val="00E72119"/>
    <w:rsid w:val="00E73A06"/>
    <w:rsid w:val="00E73F12"/>
    <w:rsid w:val="00E75894"/>
    <w:rsid w:val="00E773B5"/>
    <w:rsid w:val="00E82A10"/>
    <w:rsid w:val="00E82DAF"/>
    <w:rsid w:val="00E8315B"/>
    <w:rsid w:val="00E8324E"/>
    <w:rsid w:val="00E83544"/>
    <w:rsid w:val="00E8429A"/>
    <w:rsid w:val="00E84F24"/>
    <w:rsid w:val="00E85586"/>
    <w:rsid w:val="00E85734"/>
    <w:rsid w:val="00E859E7"/>
    <w:rsid w:val="00E85D5A"/>
    <w:rsid w:val="00E861AB"/>
    <w:rsid w:val="00E86543"/>
    <w:rsid w:val="00E8768A"/>
    <w:rsid w:val="00E90AB5"/>
    <w:rsid w:val="00E90FC6"/>
    <w:rsid w:val="00E9138E"/>
    <w:rsid w:val="00E91508"/>
    <w:rsid w:val="00E918DA"/>
    <w:rsid w:val="00E91C4B"/>
    <w:rsid w:val="00E92123"/>
    <w:rsid w:val="00E92DE8"/>
    <w:rsid w:val="00E93F2E"/>
    <w:rsid w:val="00E949E9"/>
    <w:rsid w:val="00E94F73"/>
    <w:rsid w:val="00E95333"/>
    <w:rsid w:val="00E95D26"/>
    <w:rsid w:val="00E97A71"/>
    <w:rsid w:val="00E97E4C"/>
    <w:rsid w:val="00EA01F7"/>
    <w:rsid w:val="00EA16A9"/>
    <w:rsid w:val="00EA1A45"/>
    <w:rsid w:val="00EA2C26"/>
    <w:rsid w:val="00EA4870"/>
    <w:rsid w:val="00EA597C"/>
    <w:rsid w:val="00EA7CAE"/>
    <w:rsid w:val="00EB07BE"/>
    <w:rsid w:val="00EB0EC6"/>
    <w:rsid w:val="00EB138D"/>
    <w:rsid w:val="00EB14E7"/>
    <w:rsid w:val="00EB168C"/>
    <w:rsid w:val="00EB1970"/>
    <w:rsid w:val="00EB2855"/>
    <w:rsid w:val="00EB3755"/>
    <w:rsid w:val="00EB3C77"/>
    <w:rsid w:val="00EB3C85"/>
    <w:rsid w:val="00EB414F"/>
    <w:rsid w:val="00EB4488"/>
    <w:rsid w:val="00EB5FBA"/>
    <w:rsid w:val="00EB7144"/>
    <w:rsid w:val="00EB7A38"/>
    <w:rsid w:val="00EB7CD5"/>
    <w:rsid w:val="00EC11E6"/>
    <w:rsid w:val="00EC311E"/>
    <w:rsid w:val="00EC3AD1"/>
    <w:rsid w:val="00EC4F68"/>
    <w:rsid w:val="00EC58DD"/>
    <w:rsid w:val="00EC689D"/>
    <w:rsid w:val="00EC793C"/>
    <w:rsid w:val="00EC7A47"/>
    <w:rsid w:val="00EC7C42"/>
    <w:rsid w:val="00ED0F97"/>
    <w:rsid w:val="00ED18F2"/>
    <w:rsid w:val="00ED24BD"/>
    <w:rsid w:val="00ED411E"/>
    <w:rsid w:val="00ED4DA6"/>
    <w:rsid w:val="00ED515D"/>
    <w:rsid w:val="00ED543B"/>
    <w:rsid w:val="00ED5A06"/>
    <w:rsid w:val="00ED5B70"/>
    <w:rsid w:val="00ED5D25"/>
    <w:rsid w:val="00ED6550"/>
    <w:rsid w:val="00ED77F9"/>
    <w:rsid w:val="00ED793D"/>
    <w:rsid w:val="00EE0BDC"/>
    <w:rsid w:val="00EE1744"/>
    <w:rsid w:val="00EE2114"/>
    <w:rsid w:val="00EE2403"/>
    <w:rsid w:val="00EE3F7D"/>
    <w:rsid w:val="00EE4A77"/>
    <w:rsid w:val="00EE649E"/>
    <w:rsid w:val="00EE6A75"/>
    <w:rsid w:val="00EE6B09"/>
    <w:rsid w:val="00EF1AD5"/>
    <w:rsid w:val="00EF1C9E"/>
    <w:rsid w:val="00EF248C"/>
    <w:rsid w:val="00EF404D"/>
    <w:rsid w:val="00EF4248"/>
    <w:rsid w:val="00EF4CFB"/>
    <w:rsid w:val="00EF5113"/>
    <w:rsid w:val="00EF516D"/>
    <w:rsid w:val="00EF5205"/>
    <w:rsid w:val="00EF681F"/>
    <w:rsid w:val="00EF7A1B"/>
    <w:rsid w:val="00F00F33"/>
    <w:rsid w:val="00F018F9"/>
    <w:rsid w:val="00F019F5"/>
    <w:rsid w:val="00F01BE2"/>
    <w:rsid w:val="00F02ABC"/>
    <w:rsid w:val="00F03291"/>
    <w:rsid w:val="00F03731"/>
    <w:rsid w:val="00F03887"/>
    <w:rsid w:val="00F05094"/>
    <w:rsid w:val="00F06A06"/>
    <w:rsid w:val="00F07172"/>
    <w:rsid w:val="00F10170"/>
    <w:rsid w:val="00F1086C"/>
    <w:rsid w:val="00F10B5C"/>
    <w:rsid w:val="00F111AA"/>
    <w:rsid w:val="00F111BE"/>
    <w:rsid w:val="00F12B0B"/>
    <w:rsid w:val="00F1310A"/>
    <w:rsid w:val="00F1326A"/>
    <w:rsid w:val="00F14BA9"/>
    <w:rsid w:val="00F14E63"/>
    <w:rsid w:val="00F14F93"/>
    <w:rsid w:val="00F14FB5"/>
    <w:rsid w:val="00F158E6"/>
    <w:rsid w:val="00F15B80"/>
    <w:rsid w:val="00F1601A"/>
    <w:rsid w:val="00F17CC8"/>
    <w:rsid w:val="00F2197D"/>
    <w:rsid w:val="00F21F7B"/>
    <w:rsid w:val="00F22757"/>
    <w:rsid w:val="00F23966"/>
    <w:rsid w:val="00F23F18"/>
    <w:rsid w:val="00F243E0"/>
    <w:rsid w:val="00F24C25"/>
    <w:rsid w:val="00F253DA"/>
    <w:rsid w:val="00F2569C"/>
    <w:rsid w:val="00F2753B"/>
    <w:rsid w:val="00F27A93"/>
    <w:rsid w:val="00F27CE1"/>
    <w:rsid w:val="00F27FC0"/>
    <w:rsid w:val="00F31C75"/>
    <w:rsid w:val="00F32153"/>
    <w:rsid w:val="00F327E7"/>
    <w:rsid w:val="00F3355B"/>
    <w:rsid w:val="00F343F9"/>
    <w:rsid w:val="00F35045"/>
    <w:rsid w:val="00F356F7"/>
    <w:rsid w:val="00F3596E"/>
    <w:rsid w:val="00F360A4"/>
    <w:rsid w:val="00F36163"/>
    <w:rsid w:val="00F36320"/>
    <w:rsid w:val="00F36D91"/>
    <w:rsid w:val="00F37373"/>
    <w:rsid w:val="00F40D3C"/>
    <w:rsid w:val="00F40FEE"/>
    <w:rsid w:val="00F423F8"/>
    <w:rsid w:val="00F4291C"/>
    <w:rsid w:val="00F42C56"/>
    <w:rsid w:val="00F432A0"/>
    <w:rsid w:val="00F43D2C"/>
    <w:rsid w:val="00F45867"/>
    <w:rsid w:val="00F475B3"/>
    <w:rsid w:val="00F502AD"/>
    <w:rsid w:val="00F504D0"/>
    <w:rsid w:val="00F50951"/>
    <w:rsid w:val="00F52552"/>
    <w:rsid w:val="00F528CC"/>
    <w:rsid w:val="00F53062"/>
    <w:rsid w:val="00F532E0"/>
    <w:rsid w:val="00F53766"/>
    <w:rsid w:val="00F539BC"/>
    <w:rsid w:val="00F54010"/>
    <w:rsid w:val="00F543DF"/>
    <w:rsid w:val="00F56868"/>
    <w:rsid w:val="00F56E1D"/>
    <w:rsid w:val="00F56FD3"/>
    <w:rsid w:val="00F602C4"/>
    <w:rsid w:val="00F61201"/>
    <w:rsid w:val="00F624B3"/>
    <w:rsid w:val="00F6264B"/>
    <w:rsid w:val="00F628EF"/>
    <w:rsid w:val="00F62AB9"/>
    <w:rsid w:val="00F62B9C"/>
    <w:rsid w:val="00F63323"/>
    <w:rsid w:val="00F6418B"/>
    <w:rsid w:val="00F644FD"/>
    <w:rsid w:val="00F6577A"/>
    <w:rsid w:val="00F65AE9"/>
    <w:rsid w:val="00F65AF1"/>
    <w:rsid w:val="00F66E99"/>
    <w:rsid w:val="00F6705B"/>
    <w:rsid w:val="00F672B0"/>
    <w:rsid w:val="00F67C01"/>
    <w:rsid w:val="00F7094C"/>
    <w:rsid w:val="00F716B6"/>
    <w:rsid w:val="00F7192A"/>
    <w:rsid w:val="00F731A2"/>
    <w:rsid w:val="00F74082"/>
    <w:rsid w:val="00F741B2"/>
    <w:rsid w:val="00F742BD"/>
    <w:rsid w:val="00F7552C"/>
    <w:rsid w:val="00F7612A"/>
    <w:rsid w:val="00F76499"/>
    <w:rsid w:val="00F76D34"/>
    <w:rsid w:val="00F76F93"/>
    <w:rsid w:val="00F77BB4"/>
    <w:rsid w:val="00F80145"/>
    <w:rsid w:val="00F80394"/>
    <w:rsid w:val="00F805E3"/>
    <w:rsid w:val="00F8118E"/>
    <w:rsid w:val="00F82464"/>
    <w:rsid w:val="00F82728"/>
    <w:rsid w:val="00F82756"/>
    <w:rsid w:val="00F82784"/>
    <w:rsid w:val="00F82A3C"/>
    <w:rsid w:val="00F83046"/>
    <w:rsid w:val="00F83A5F"/>
    <w:rsid w:val="00F83BEE"/>
    <w:rsid w:val="00F83F52"/>
    <w:rsid w:val="00F85D03"/>
    <w:rsid w:val="00F86C0D"/>
    <w:rsid w:val="00F87024"/>
    <w:rsid w:val="00F870E7"/>
    <w:rsid w:val="00F87A56"/>
    <w:rsid w:val="00F90269"/>
    <w:rsid w:val="00F90276"/>
    <w:rsid w:val="00F9043B"/>
    <w:rsid w:val="00F92170"/>
    <w:rsid w:val="00F92C71"/>
    <w:rsid w:val="00F92FAF"/>
    <w:rsid w:val="00F9422C"/>
    <w:rsid w:val="00F942E1"/>
    <w:rsid w:val="00F95149"/>
    <w:rsid w:val="00F95238"/>
    <w:rsid w:val="00F956DF"/>
    <w:rsid w:val="00F95BED"/>
    <w:rsid w:val="00F97AA7"/>
    <w:rsid w:val="00FA08FD"/>
    <w:rsid w:val="00FA0EE9"/>
    <w:rsid w:val="00FA1491"/>
    <w:rsid w:val="00FA26A0"/>
    <w:rsid w:val="00FA27EB"/>
    <w:rsid w:val="00FA2C86"/>
    <w:rsid w:val="00FA38E7"/>
    <w:rsid w:val="00FA3EE1"/>
    <w:rsid w:val="00FA4A13"/>
    <w:rsid w:val="00FA4FD1"/>
    <w:rsid w:val="00FA5F17"/>
    <w:rsid w:val="00FA5F30"/>
    <w:rsid w:val="00FA75D2"/>
    <w:rsid w:val="00FA7F92"/>
    <w:rsid w:val="00FB29E8"/>
    <w:rsid w:val="00FB2D4C"/>
    <w:rsid w:val="00FB3808"/>
    <w:rsid w:val="00FB4F19"/>
    <w:rsid w:val="00FB5506"/>
    <w:rsid w:val="00FB6123"/>
    <w:rsid w:val="00FB620B"/>
    <w:rsid w:val="00FC1756"/>
    <w:rsid w:val="00FC1813"/>
    <w:rsid w:val="00FC2587"/>
    <w:rsid w:val="00FC25FE"/>
    <w:rsid w:val="00FC2778"/>
    <w:rsid w:val="00FC304C"/>
    <w:rsid w:val="00FC4EC3"/>
    <w:rsid w:val="00FC574D"/>
    <w:rsid w:val="00FC71A6"/>
    <w:rsid w:val="00FC75CC"/>
    <w:rsid w:val="00FC7E3F"/>
    <w:rsid w:val="00FD0855"/>
    <w:rsid w:val="00FD0CB2"/>
    <w:rsid w:val="00FD214B"/>
    <w:rsid w:val="00FD21E9"/>
    <w:rsid w:val="00FD3774"/>
    <w:rsid w:val="00FD4951"/>
    <w:rsid w:val="00FD4DB4"/>
    <w:rsid w:val="00FD55C1"/>
    <w:rsid w:val="00FD5638"/>
    <w:rsid w:val="00FD749C"/>
    <w:rsid w:val="00FE14ED"/>
    <w:rsid w:val="00FE15F0"/>
    <w:rsid w:val="00FE1B03"/>
    <w:rsid w:val="00FE1CC5"/>
    <w:rsid w:val="00FE1EEB"/>
    <w:rsid w:val="00FE3960"/>
    <w:rsid w:val="00FE49F7"/>
    <w:rsid w:val="00FE4A48"/>
    <w:rsid w:val="00FE4B6F"/>
    <w:rsid w:val="00FE4C9A"/>
    <w:rsid w:val="00FE52B8"/>
    <w:rsid w:val="00FE555A"/>
    <w:rsid w:val="00FE56A9"/>
    <w:rsid w:val="00FE59FD"/>
    <w:rsid w:val="00FE68A3"/>
    <w:rsid w:val="00FF0272"/>
    <w:rsid w:val="00FF0B5E"/>
    <w:rsid w:val="00FF11F9"/>
    <w:rsid w:val="00FF2F5C"/>
    <w:rsid w:val="00FF3C39"/>
    <w:rsid w:val="00FF4CA3"/>
    <w:rsid w:val="00FF4EFC"/>
    <w:rsid w:val="00FF51F3"/>
    <w:rsid w:val="00FF6076"/>
    <w:rsid w:val="00FF6538"/>
    <w:rsid w:val="0215574B"/>
    <w:rsid w:val="02678C3A"/>
    <w:rsid w:val="026E4AD0"/>
    <w:rsid w:val="02F15B79"/>
    <w:rsid w:val="05BB9D8D"/>
    <w:rsid w:val="06DCC2A9"/>
    <w:rsid w:val="06F2ABBE"/>
    <w:rsid w:val="07E6A96B"/>
    <w:rsid w:val="0843762C"/>
    <w:rsid w:val="08DEBB44"/>
    <w:rsid w:val="09203139"/>
    <w:rsid w:val="096DA055"/>
    <w:rsid w:val="0A902732"/>
    <w:rsid w:val="0B4838F2"/>
    <w:rsid w:val="0B82075A"/>
    <w:rsid w:val="0C125811"/>
    <w:rsid w:val="0C95ECFB"/>
    <w:rsid w:val="0E9AC828"/>
    <w:rsid w:val="0FFA3DA6"/>
    <w:rsid w:val="1178B23A"/>
    <w:rsid w:val="129544CA"/>
    <w:rsid w:val="1538361E"/>
    <w:rsid w:val="154267D2"/>
    <w:rsid w:val="185ECDDF"/>
    <w:rsid w:val="1AE41EAE"/>
    <w:rsid w:val="1E4DB9C6"/>
    <w:rsid w:val="1EC7DF5B"/>
    <w:rsid w:val="233293EB"/>
    <w:rsid w:val="26E916DF"/>
    <w:rsid w:val="2846EE23"/>
    <w:rsid w:val="2CC04DD4"/>
    <w:rsid w:val="2CC72CBD"/>
    <w:rsid w:val="2CD878A7"/>
    <w:rsid w:val="2E7FEDBE"/>
    <w:rsid w:val="302C5894"/>
    <w:rsid w:val="363E1C29"/>
    <w:rsid w:val="37278132"/>
    <w:rsid w:val="39033494"/>
    <w:rsid w:val="396A76C9"/>
    <w:rsid w:val="39A480D5"/>
    <w:rsid w:val="39AACFE4"/>
    <w:rsid w:val="3B582A50"/>
    <w:rsid w:val="3B5C45B7"/>
    <w:rsid w:val="3C722C2F"/>
    <w:rsid w:val="3FBE8CB2"/>
    <w:rsid w:val="445E0FE7"/>
    <w:rsid w:val="44FE2120"/>
    <w:rsid w:val="4CE726C8"/>
    <w:rsid w:val="4E83010E"/>
    <w:rsid w:val="4E86D232"/>
    <w:rsid w:val="506C10A6"/>
    <w:rsid w:val="50A26659"/>
    <w:rsid w:val="51F293B3"/>
    <w:rsid w:val="52365BB2"/>
    <w:rsid w:val="54525480"/>
    <w:rsid w:val="54CC684D"/>
    <w:rsid w:val="573D6C8A"/>
    <w:rsid w:val="5C026765"/>
    <w:rsid w:val="5DE5414E"/>
    <w:rsid w:val="5E1E0B07"/>
    <w:rsid w:val="6131071C"/>
    <w:rsid w:val="61609985"/>
    <w:rsid w:val="61C13BEC"/>
    <w:rsid w:val="62D4BE5A"/>
    <w:rsid w:val="66F75F03"/>
    <w:rsid w:val="6734D94C"/>
    <w:rsid w:val="67BA727C"/>
    <w:rsid w:val="6829A243"/>
    <w:rsid w:val="6B48B220"/>
    <w:rsid w:val="6B5223E9"/>
    <w:rsid w:val="6D90CF9F"/>
    <w:rsid w:val="6DBF7B5C"/>
    <w:rsid w:val="6FF6D691"/>
    <w:rsid w:val="705C280F"/>
    <w:rsid w:val="72E0092C"/>
    <w:rsid w:val="72F975DD"/>
    <w:rsid w:val="73E4D520"/>
    <w:rsid w:val="74175AED"/>
    <w:rsid w:val="77861826"/>
    <w:rsid w:val="7C32F308"/>
  </w:rsids>
  <m:mathPr>
    <m:mathFont m:val="Cambria Math"/>
    <m:brkBin m:val="before"/>
    <m:brkBinSub m:val="--"/>
    <m:smallFrac m:val="0"/>
    <m:dispDef/>
    <m:lMargin m:val="0"/>
    <m:rMargin m:val="0"/>
    <m:defJc m:val="centerGroup"/>
    <m:wrapIndent m:val="1440"/>
    <m:intLim m:val="subSup"/>
    <m:naryLim m:val="undOvr"/>
  </m:mathPr>
  <w:themeFontLang w:val="en-Z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42D686"/>
  <w15:docId w15:val="{D3055C1B-B45A-4100-86B2-853799740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ZA" w:eastAsia="en-Z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488B"/>
    <w:pPr>
      <w:spacing w:after="120"/>
    </w:pPr>
  </w:style>
  <w:style w:type="paragraph" w:styleId="Heading1">
    <w:name w:val="heading 1"/>
    <w:basedOn w:val="Normal"/>
    <w:next w:val="Normal"/>
    <w:link w:val="Heading1Char"/>
    <w:uiPriority w:val="9"/>
    <w:qFormat/>
    <w:rsid w:val="001158CB"/>
    <w:pPr>
      <w:keepNext/>
      <w:keepLines/>
      <w:numPr>
        <w:numId w:val="2"/>
      </w:numPr>
      <w:shd w:val="clear" w:color="auto" w:fill="31849B" w:themeFill="accent5" w:themeFillShade="BF"/>
      <w:spacing w:before="240"/>
      <w:ind w:right="57"/>
      <w:outlineLvl w:val="0"/>
    </w:pPr>
    <w:rPr>
      <w:rFonts w:ascii="Century Gothic" w:hAnsi="Century Gothic"/>
      <w:b/>
      <w:color w:val="FFFFFF" w:themeColor="background1"/>
      <w:sz w:val="32"/>
      <w:szCs w:val="40"/>
    </w:rPr>
  </w:style>
  <w:style w:type="paragraph" w:styleId="Heading2">
    <w:name w:val="heading 2"/>
    <w:basedOn w:val="Normal"/>
    <w:next w:val="Normal"/>
    <w:uiPriority w:val="9"/>
    <w:unhideWhenUsed/>
    <w:qFormat/>
    <w:rsid w:val="005258BE"/>
    <w:pPr>
      <w:keepNext/>
      <w:keepLines/>
      <w:numPr>
        <w:ilvl w:val="1"/>
        <w:numId w:val="2"/>
      </w:numPr>
      <w:pBdr>
        <w:top w:val="nil"/>
        <w:left w:val="nil"/>
        <w:bottom w:val="nil"/>
        <w:right w:val="nil"/>
        <w:between w:val="nil"/>
      </w:pBdr>
      <w:spacing w:before="240"/>
      <w:outlineLvl w:val="1"/>
    </w:pPr>
    <w:rPr>
      <w:b/>
      <w:sz w:val="22"/>
    </w:rPr>
  </w:style>
  <w:style w:type="paragraph" w:styleId="Heading3">
    <w:name w:val="heading 3"/>
    <w:basedOn w:val="Heading2"/>
    <w:next w:val="Normal"/>
    <w:uiPriority w:val="9"/>
    <w:unhideWhenUsed/>
    <w:qFormat/>
    <w:rsid w:val="005258BE"/>
    <w:pPr>
      <w:numPr>
        <w:ilvl w:val="2"/>
      </w:numPr>
      <w:outlineLvl w:val="2"/>
    </w:pPr>
    <w:rPr>
      <w:sz w:val="20"/>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40"/>
      <w:outlineLvl w:val="3"/>
    </w:pPr>
    <w:rPr>
      <w:color w:val="000000"/>
    </w:rPr>
  </w:style>
  <w:style w:type="paragraph" w:styleId="Heading5">
    <w:name w:val="heading 5"/>
    <w:basedOn w:val="Normal"/>
    <w:next w:val="Normal"/>
    <w:uiPriority w:val="9"/>
    <w:semiHidden/>
    <w:unhideWhenUsed/>
    <w:qFormat/>
    <w:pPr>
      <w:keepNext/>
      <w:keepLines/>
      <w:spacing w:before="200"/>
      <w:outlineLvl w:val="4"/>
    </w:pPr>
    <w:rPr>
      <w:color w:val="005533"/>
    </w:rPr>
  </w:style>
  <w:style w:type="paragraph" w:styleId="Heading6">
    <w:name w:val="heading 6"/>
    <w:basedOn w:val="Normal"/>
    <w:next w:val="Normal"/>
    <w:uiPriority w:val="9"/>
    <w:semiHidden/>
    <w:unhideWhenUsed/>
    <w:qFormat/>
    <w:pPr>
      <w:keepNext/>
      <w:keepLines/>
      <w:spacing w:before="200" w:after="40"/>
      <w:outlineLvl w:val="5"/>
    </w:pPr>
    <w:rPr>
      <w:b/>
    </w:rPr>
  </w:style>
  <w:style w:type="paragraph" w:styleId="Heading7">
    <w:name w:val="heading 7"/>
    <w:basedOn w:val="Normal"/>
    <w:next w:val="Normal"/>
    <w:link w:val="Heading7Char"/>
    <w:uiPriority w:val="9"/>
    <w:semiHidden/>
    <w:unhideWhenUsed/>
    <w:qFormat/>
    <w:rsid w:val="00135074"/>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13507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3507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line="240" w:lineRule="auto"/>
    </w:pPr>
    <w:rPr>
      <w:sz w:val="56"/>
      <w:szCs w:val="56"/>
    </w:rPr>
  </w:style>
  <w:style w:type="paragraph" w:styleId="Subtitle">
    <w:name w:val="Subtitle"/>
    <w:basedOn w:val="Normal"/>
    <w:next w:val="Normal"/>
    <w:uiPriority w:val="11"/>
    <w:qFormat/>
    <w:pPr>
      <w:pBdr>
        <w:top w:val="nil"/>
        <w:left w:val="nil"/>
        <w:bottom w:val="nil"/>
        <w:right w:val="nil"/>
        <w:between w:val="nil"/>
      </w:pBdr>
    </w:pPr>
    <w:rPr>
      <w:i/>
      <w:color w:val="00AF71"/>
    </w:rPr>
  </w:style>
  <w:style w:type="table" w:customStyle="1" w:styleId="a">
    <w:basedOn w:val="TableNormal"/>
    <w:pPr>
      <w:spacing w:before="40" w:after="40"/>
    </w:pPr>
    <w:rPr>
      <w:color w:val="FFFFFF"/>
      <w:sz w:val="22"/>
      <w:szCs w:val="22"/>
    </w:rPr>
    <w:tblPr>
      <w:tblStyleRowBandSize w:val="1"/>
      <w:tblStyleColBandSize w:val="1"/>
      <w:tblCellMar>
        <w:left w:w="0" w:type="dxa"/>
        <w:right w:w="0" w:type="dxa"/>
      </w:tblCellMar>
    </w:tblPr>
    <w:tcPr>
      <w:shd w:val="clear" w:color="auto" w:fill="0975A7"/>
      <w:vAlign w:val="center"/>
    </w:tcPr>
    <w:tblStylePr w:type="firstRow">
      <w:pPr>
        <w:spacing w:before="0" w:after="0" w:line="240" w:lineRule="auto"/>
      </w:pPr>
      <w:rPr>
        <w:rFonts w:ascii="Arial" w:eastAsia="Arial" w:hAnsi="Arial" w:cs="Arial"/>
        <w:b/>
        <w:color w:val="FFFFFF"/>
        <w:sz w:val="16"/>
        <w:szCs w:val="16"/>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00AB67"/>
      </w:tcPr>
    </w:tblStylePr>
    <w:tblStylePr w:type="lastRow">
      <w:pPr>
        <w:spacing w:before="0" w:after="0" w:line="240" w:lineRule="auto"/>
      </w:pPr>
      <w:rPr>
        <w:rFonts w:ascii="Arial" w:eastAsia="Arial" w:hAnsi="Arial" w:cs="Arial"/>
        <w:b w:val="0"/>
        <w:color w:val="FFFFFF"/>
        <w:sz w:val="16"/>
        <w:szCs w:val="16"/>
      </w:rPr>
      <w:tblPr/>
      <w:tcPr>
        <w:shd w:val="clear" w:color="auto" w:fill="00AB67"/>
      </w:tcPr>
    </w:tblStylePr>
    <w:tblStylePr w:type="firstCol">
      <w:rPr>
        <w:b/>
        <w:color w:val="00AB67"/>
        <w:sz w:val="16"/>
        <w:szCs w:val="16"/>
      </w:rPr>
    </w:tblStylePr>
    <w:tblStylePr w:type="band2Horz">
      <w:tblPr/>
      <w:tcPr>
        <w:shd w:val="clear" w:color="auto" w:fill="DFDFDF"/>
      </w:tcPr>
    </w:tblStylePr>
  </w:style>
  <w:style w:type="table" w:customStyle="1" w:styleId="a0">
    <w:basedOn w:val="TableNormal"/>
    <w:pPr>
      <w:spacing w:before="40" w:after="40"/>
    </w:pPr>
    <w:rPr>
      <w:color w:val="FFFFFF"/>
      <w:sz w:val="22"/>
      <w:szCs w:val="22"/>
    </w:rPr>
    <w:tblPr>
      <w:tblStyleRowBandSize w:val="1"/>
      <w:tblStyleColBandSize w:val="1"/>
      <w:tblCellMar>
        <w:left w:w="0" w:type="dxa"/>
        <w:right w:w="0" w:type="dxa"/>
      </w:tblCellMar>
    </w:tblPr>
    <w:tcPr>
      <w:shd w:val="clear" w:color="auto" w:fill="0975A7"/>
      <w:vAlign w:val="center"/>
    </w:tcPr>
    <w:tblStylePr w:type="firstRow">
      <w:pPr>
        <w:spacing w:before="0" w:after="0" w:line="240" w:lineRule="auto"/>
      </w:pPr>
      <w:rPr>
        <w:rFonts w:ascii="Arial" w:eastAsia="Arial" w:hAnsi="Arial" w:cs="Arial"/>
        <w:b/>
        <w:color w:val="FFFFFF"/>
        <w:sz w:val="16"/>
        <w:szCs w:val="16"/>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00AB67"/>
      </w:tcPr>
    </w:tblStylePr>
    <w:tblStylePr w:type="lastRow">
      <w:pPr>
        <w:spacing w:before="0" w:after="0" w:line="240" w:lineRule="auto"/>
      </w:pPr>
      <w:rPr>
        <w:rFonts w:ascii="Arial" w:eastAsia="Arial" w:hAnsi="Arial" w:cs="Arial"/>
        <w:b w:val="0"/>
        <w:color w:val="FFFFFF"/>
        <w:sz w:val="16"/>
        <w:szCs w:val="16"/>
      </w:rPr>
      <w:tblPr/>
      <w:tcPr>
        <w:shd w:val="clear" w:color="auto" w:fill="00AB67"/>
      </w:tcPr>
    </w:tblStylePr>
    <w:tblStylePr w:type="firstCol">
      <w:rPr>
        <w:b/>
        <w:color w:val="00AB67"/>
        <w:sz w:val="16"/>
        <w:szCs w:val="16"/>
      </w:rPr>
    </w:tblStylePr>
    <w:tblStylePr w:type="band2Horz">
      <w:tblPr/>
      <w:tcPr>
        <w:shd w:val="clear" w:color="auto" w:fill="DFDFDF"/>
      </w:tcPr>
    </w:tblStylePr>
  </w:style>
  <w:style w:type="table" w:customStyle="1" w:styleId="a1">
    <w:basedOn w:val="TableNormal"/>
    <w:pPr>
      <w:spacing w:before="40" w:after="40"/>
    </w:pPr>
    <w:rPr>
      <w:color w:val="FFFFFF"/>
      <w:sz w:val="22"/>
      <w:szCs w:val="22"/>
    </w:rPr>
    <w:tblPr>
      <w:tblStyleRowBandSize w:val="1"/>
      <w:tblStyleColBandSize w:val="1"/>
      <w:tblCellMar>
        <w:top w:w="397" w:type="dxa"/>
        <w:left w:w="0" w:type="dxa"/>
        <w:right w:w="0" w:type="dxa"/>
      </w:tblCellMar>
    </w:tblPr>
    <w:tcPr>
      <w:shd w:val="clear" w:color="auto" w:fill="0975A7"/>
      <w:vAlign w:val="center"/>
    </w:tcPr>
    <w:tblStylePr w:type="firstRow">
      <w:pPr>
        <w:spacing w:before="0" w:after="0" w:line="240" w:lineRule="auto"/>
      </w:pPr>
      <w:rPr>
        <w:rFonts w:ascii="Arial" w:eastAsia="Arial" w:hAnsi="Arial" w:cs="Arial"/>
        <w:b/>
        <w:color w:val="FFFFFF"/>
        <w:sz w:val="16"/>
        <w:szCs w:val="16"/>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00AB67"/>
      </w:tcPr>
    </w:tblStylePr>
    <w:tblStylePr w:type="lastRow">
      <w:pPr>
        <w:spacing w:before="0" w:after="0" w:line="240" w:lineRule="auto"/>
      </w:pPr>
      <w:rPr>
        <w:rFonts w:ascii="Arial" w:eastAsia="Arial" w:hAnsi="Arial" w:cs="Arial"/>
        <w:b w:val="0"/>
        <w:color w:val="FFFFFF"/>
        <w:sz w:val="16"/>
        <w:szCs w:val="16"/>
      </w:rPr>
      <w:tblPr/>
      <w:tcPr>
        <w:shd w:val="clear" w:color="auto" w:fill="00AB67"/>
      </w:tcPr>
    </w:tblStylePr>
    <w:tblStylePr w:type="firstCol">
      <w:rPr>
        <w:b/>
        <w:color w:val="00AB67"/>
        <w:sz w:val="16"/>
        <w:szCs w:val="16"/>
      </w:rPr>
    </w:tblStylePr>
    <w:tblStylePr w:type="band2Horz">
      <w:tblPr/>
      <w:tcPr>
        <w:shd w:val="clear" w:color="auto" w:fill="DFDFDF"/>
      </w:tcPr>
    </w:tblStylePr>
  </w:style>
  <w:style w:type="table" w:customStyle="1" w:styleId="a2">
    <w:basedOn w:val="TableNormal"/>
    <w:pPr>
      <w:spacing w:before="40" w:after="40"/>
    </w:pPr>
    <w:rPr>
      <w:color w:val="FFFFFF"/>
      <w:sz w:val="22"/>
      <w:szCs w:val="22"/>
    </w:rPr>
    <w:tblPr>
      <w:tblStyleRowBandSize w:val="1"/>
      <w:tblStyleColBandSize w:val="1"/>
      <w:tblCellMar>
        <w:left w:w="0" w:type="dxa"/>
        <w:right w:w="0" w:type="dxa"/>
      </w:tblCellMar>
    </w:tblPr>
    <w:tcPr>
      <w:shd w:val="clear" w:color="auto" w:fill="0975A7"/>
      <w:vAlign w:val="center"/>
    </w:tcPr>
    <w:tblStylePr w:type="firstRow">
      <w:rPr>
        <w:rFonts w:ascii="Arial" w:eastAsia="Arial" w:hAnsi="Arial" w:cs="Arial"/>
        <w:b/>
        <w:i w:val="0"/>
        <w:color w:val="626162"/>
        <w:sz w:val="16"/>
        <w:szCs w:val="16"/>
      </w:rPr>
    </w:tblStylePr>
    <w:tblStylePr w:type="lastRow">
      <w:rPr>
        <w:color w:val="626162"/>
      </w:rPr>
    </w:tblStylePr>
    <w:tblStylePr w:type="firstCol">
      <w:rPr>
        <w:color w:val="626162"/>
      </w:rPr>
    </w:tblStyle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spacing w:before="40" w:after="40"/>
    </w:pPr>
    <w:rPr>
      <w:color w:val="FFFFFF"/>
      <w:sz w:val="22"/>
      <w:szCs w:val="22"/>
    </w:rPr>
    <w:tblPr>
      <w:tblStyleRowBandSize w:val="1"/>
      <w:tblStyleColBandSize w:val="1"/>
      <w:tblCellMar>
        <w:left w:w="115" w:type="dxa"/>
        <w:right w:w="115" w:type="dxa"/>
      </w:tblCellMar>
    </w:tblPr>
    <w:tcPr>
      <w:shd w:val="clear" w:color="auto" w:fill="0975A7"/>
      <w:vAlign w:val="center"/>
    </w:tcPr>
    <w:tblStylePr w:type="firstRow">
      <w:pPr>
        <w:spacing w:before="0" w:after="0" w:line="240" w:lineRule="auto"/>
      </w:pPr>
      <w:rPr>
        <w:rFonts w:ascii="Arial" w:eastAsia="Arial" w:hAnsi="Arial" w:cs="Arial"/>
        <w:b/>
        <w:color w:val="FFFFFF"/>
        <w:sz w:val="16"/>
        <w:szCs w:val="16"/>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00AB67"/>
      </w:tcPr>
    </w:tblStylePr>
    <w:tblStylePr w:type="lastRow">
      <w:pPr>
        <w:spacing w:before="0" w:after="0" w:line="240" w:lineRule="auto"/>
      </w:pPr>
      <w:rPr>
        <w:rFonts w:ascii="Arial" w:eastAsia="Arial" w:hAnsi="Arial" w:cs="Arial"/>
        <w:b w:val="0"/>
        <w:color w:val="FFFFFF"/>
        <w:sz w:val="16"/>
        <w:szCs w:val="16"/>
      </w:rPr>
      <w:tblPr/>
      <w:tcPr>
        <w:shd w:val="clear" w:color="auto" w:fill="00AB67"/>
      </w:tcPr>
    </w:tblStylePr>
    <w:tblStylePr w:type="firstCol">
      <w:rPr>
        <w:b/>
        <w:color w:val="00AB67"/>
        <w:sz w:val="16"/>
        <w:szCs w:val="16"/>
      </w:rPr>
    </w:tblStylePr>
    <w:tblStylePr w:type="band2Horz">
      <w:tblPr/>
      <w:tcPr>
        <w:shd w:val="clear" w:color="auto" w:fill="DFDFDF"/>
      </w:tcPr>
    </w:tblStylePr>
  </w:style>
  <w:style w:type="table" w:customStyle="1" w:styleId="a5">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paragraph" w:styleId="ListParagraph">
    <w:name w:val="List Paragraph"/>
    <w:aliases w:val="Bullets,RTKL Bullet,YC Bulet,lp1,List Paragraph1,List Paragraph2,AJK Bullet,Body text,Párrafo de lista1,soproListenabsatz,List Paragraph Char Char,Number_1,EOH bullet,Use Case List Paragraph,EOH paragraph,Table (List),Indent Paragraph"/>
    <w:basedOn w:val="Normal"/>
    <w:link w:val="ListParagraphChar"/>
    <w:uiPriority w:val="34"/>
    <w:qFormat/>
    <w:rsid w:val="00856E57"/>
    <w:pPr>
      <w:ind w:left="720"/>
      <w:contextualSpacing/>
    </w:pPr>
  </w:style>
  <w:style w:type="paragraph" w:styleId="CommentSubject">
    <w:name w:val="annotation subject"/>
    <w:basedOn w:val="CommentText"/>
    <w:next w:val="CommentText"/>
    <w:link w:val="CommentSubjectChar"/>
    <w:uiPriority w:val="99"/>
    <w:semiHidden/>
    <w:unhideWhenUsed/>
    <w:rsid w:val="00A15497"/>
    <w:rPr>
      <w:b/>
      <w:bCs/>
    </w:rPr>
  </w:style>
  <w:style w:type="character" w:customStyle="1" w:styleId="CommentSubjectChar">
    <w:name w:val="Comment Subject Char"/>
    <w:basedOn w:val="CommentTextChar"/>
    <w:link w:val="CommentSubject"/>
    <w:uiPriority w:val="99"/>
    <w:semiHidden/>
    <w:rsid w:val="00A15497"/>
    <w:rPr>
      <w:b/>
      <w:bCs/>
    </w:rPr>
  </w:style>
  <w:style w:type="paragraph" w:styleId="Footer">
    <w:name w:val="footer"/>
    <w:basedOn w:val="Normal"/>
    <w:link w:val="FooterChar"/>
    <w:uiPriority w:val="99"/>
    <w:unhideWhenUsed/>
    <w:rsid w:val="002B6FDE"/>
    <w:pPr>
      <w:tabs>
        <w:tab w:val="center" w:pos="4513"/>
        <w:tab w:val="right" w:pos="9026"/>
      </w:tabs>
      <w:spacing w:line="240" w:lineRule="auto"/>
    </w:pPr>
  </w:style>
  <w:style w:type="character" w:customStyle="1" w:styleId="FooterChar">
    <w:name w:val="Footer Char"/>
    <w:basedOn w:val="DefaultParagraphFont"/>
    <w:link w:val="Footer"/>
    <w:uiPriority w:val="99"/>
    <w:rsid w:val="002B6FDE"/>
  </w:style>
  <w:style w:type="paragraph" w:styleId="Header">
    <w:name w:val="header"/>
    <w:basedOn w:val="Normal"/>
    <w:link w:val="HeaderChar"/>
    <w:uiPriority w:val="99"/>
    <w:unhideWhenUsed/>
    <w:rsid w:val="002B6FDE"/>
    <w:pPr>
      <w:tabs>
        <w:tab w:val="center" w:pos="4513"/>
        <w:tab w:val="right" w:pos="9026"/>
      </w:tabs>
      <w:spacing w:line="240" w:lineRule="auto"/>
    </w:pPr>
  </w:style>
  <w:style w:type="character" w:customStyle="1" w:styleId="HeaderChar">
    <w:name w:val="Header Char"/>
    <w:basedOn w:val="DefaultParagraphFont"/>
    <w:link w:val="Header"/>
    <w:uiPriority w:val="99"/>
    <w:rsid w:val="002B6FDE"/>
  </w:style>
  <w:style w:type="paragraph" w:styleId="TOCHeading">
    <w:name w:val="TOC Heading"/>
    <w:basedOn w:val="Normal"/>
    <w:next w:val="Normal"/>
    <w:uiPriority w:val="39"/>
    <w:unhideWhenUsed/>
    <w:qFormat/>
    <w:rsid w:val="00847AB8"/>
    <w:pPr>
      <w:pBdr>
        <w:top w:val="nil"/>
        <w:left w:val="nil"/>
        <w:bottom w:val="nil"/>
        <w:right w:val="nil"/>
        <w:between w:val="nil"/>
      </w:pBdr>
      <w:spacing w:before="120"/>
    </w:pPr>
    <w:rPr>
      <w:b/>
      <w:color w:val="000000"/>
      <w:sz w:val="40"/>
      <w:szCs w:val="40"/>
    </w:rPr>
  </w:style>
  <w:style w:type="paragraph" w:styleId="TOC1">
    <w:name w:val="toc 1"/>
    <w:basedOn w:val="Normal"/>
    <w:next w:val="Normal"/>
    <w:autoRedefine/>
    <w:uiPriority w:val="39"/>
    <w:unhideWhenUsed/>
    <w:rsid w:val="00DF133C"/>
    <w:pPr>
      <w:tabs>
        <w:tab w:val="left" w:pos="660"/>
        <w:tab w:val="right" w:leader="dot" w:pos="9016"/>
      </w:tabs>
      <w:spacing w:after="100"/>
    </w:pPr>
  </w:style>
  <w:style w:type="paragraph" w:styleId="TOC2">
    <w:name w:val="toc 2"/>
    <w:basedOn w:val="Normal"/>
    <w:next w:val="Normal"/>
    <w:autoRedefine/>
    <w:uiPriority w:val="39"/>
    <w:unhideWhenUsed/>
    <w:rsid w:val="00847AB8"/>
    <w:pPr>
      <w:spacing w:after="100"/>
      <w:ind w:left="200"/>
    </w:pPr>
  </w:style>
  <w:style w:type="paragraph" w:styleId="TOC3">
    <w:name w:val="toc 3"/>
    <w:basedOn w:val="Normal"/>
    <w:next w:val="Normal"/>
    <w:autoRedefine/>
    <w:uiPriority w:val="39"/>
    <w:unhideWhenUsed/>
    <w:rsid w:val="00847AB8"/>
    <w:pPr>
      <w:spacing w:after="100"/>
      <w:ind w:left="400"/>
    </w:pPr>
  </w:style>
  <w:style w:type="character" w:styleId="Hyperlink">
    <w:name w:val="Hyperlink"/>
    <w:basedOn w:val="DefaultParagraphFont"/>
    <w:uiPriority w:val="99"/>
    <w:unhideWhenUsed/>
    <w:rsid w:val="00847AB8"/>
    <w:rPr>
      <w:color w:val="0000FF" w:themeColor="hyperlink"/>
      <w:u w:val="single"/>
    </w:rPr>
  </w:style>
  <w:style w:type="paragraph" w:customStyle="1" w:styleId="DashedList">
    <w:name w:val="Dashed List"/>
    <w:basedOn w:val="ListParagraph"/>
    <w:uiPriority w:val="2"/>
    <w:unhideWhenUsed/>
    <w:rsid w:val="00B974FA"/>
    <w:pPr>
      <w:numPr>
        <w:numId w:val="3"/>
      </w:numPr>
      <w:spacing w:line="288" w:lineRule="auto"/>
      <w:outlineLvl w:val="0"/>
    </w:pPr>
    <w:rPr>
      <w:rFonts w:eastAsiaTheme="minorHAnsi" w:cs="Verdana"/>
      <w:sz w:val="22"/>
      <w:lang w:eastAsia="en-GB"/>
    </w:rPr>
  </w:style>
  <w:style w:type="paragraph" w:styleId="FootnoteText">
    <w:name w:val="footnote text"/>
    <w:basedOn w:val="Normal"/>
    <w:link w:val="FootnoteTextChar"/>
    <w:uiPriority w:val="99"/>
    <w:semiHidden/>
    <w:unhideWhenUsed/>
    <w:rsid w:val="00373F04"/>
    <w:pPr>
      <w:spacing w:line="240" w:lineRule="auto"/>
    </w:pPr>
  </w:style>
  <w:style w:type="character" w:customStyle="1" w:styleId="FootnoteTextChar">
    <w:name w:val="Footnote Text Char"/>
    <w:basedOn w:val="DefaultParagraphFont"/>
    <w:link w:val="FootnoteText"/>
    <w:uiPriority w:val="99"/>
    <w:semiHidden/>
    <w:rsid w:val="00373F04"/>
  </w:style>
  <w:style w:type="character" w:styleId="FootnoteReference">
    <w:name w:val="footnote reference"/>
    <w:basedOn w:val="DefaultParagraphFont"/>
    <w:uiPriority w:val="99"/>
    <w:semiHidden/>
    <w:unhideWhenUsed/>
    <w:rsid w:val="00373F04"/>
    <w:rPr>
      <w:vertAlign w:val="superscript"/>
    </w:rPr>
  </w:style>
  <w:style w:type="character" w:styleId="UnresolvedMention">
    <w:name w:val="Unresolved Mention"/>
    <w:basedOn w:val="DefaultParagraphFont"/>
    <w:uiPriority w:val="99"/>
    <w:unhideWhenUsed/>
    <w:rsid w:val="00CF4BA0"/>
    <w:rPr>
      <w:color w:val="605E5C"/>
      <w:shd w:val="clear" w:color="auto" w:fill="E1DFDD"/>
    </w:rPr>
  </w:style>
  <w:style w:type="paragraph" w:styleId="Caption">
    <w:name w:val="caption"/>
    <w:basedOn w:val="Normal"/>
    <w:next w:val="Normal"/>
    <w:uiPriority w:val="35"/>
    <w:unhideWhenUsed/>
    <w:qFormat/>
    <w:rsid w:val="0039076D"/>
    <w:pPr>
      <w:spacing w:after="200" w:line="240" w:lineRule="auto"/>
    </w:pPr>
    <w:rPr>
      <w:i/>
      <w:iCs/>
      <w:sz w:val="18"/>
      <w:szCs w:val="18"/>
    </w:rPr>
  </w:style>
  <w:style w:type="character" w:customStyle="1" w:styleId="Heading7Char">
    <w:name w:val="Heading 7 Char"/>
    <w:basedOn w:val="DefaultParagraphFont"/>
    <w:link w:val="Heading7"/>
    <w:uiPriority w:val="9"/>
    <w:semiHidden/>
    <w:rsid w:val="00135074"/>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13507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35074"/>
    <w:rPr>
      <w:rFonts w:asciiTheme="majorHAnsi" w:eastAsiaTheme="majorEastAsia" w:hAnsiTheme="majorHAnsi" w:cstheme="majorBidi"/>
      <w:i/>
      <w:iCs/>
      <w:color w:val="272727" w:themeColor="text1" w:themeTint="D8"/>
      <w:sz w:val="21"/>
      <w:szCs w:val="21"/>
    </w:rPr>
  </w:style>
  <w:style w:type="paragraph" w:styleId="Revision">
    <w:name w:val="Revision"/>
    <w:hidden/>
    <w:uiPriority w:val="99"/>
    <w:semiHidden/>
    <w:rsid w:val="00A20DAC"/>
    <w:pPr>
      <w:spacing w:line="240" w:lineRule="auto"/>
    </w:pPr>
  </w:style>
  <w:style w:type="character" w:styleId="FollowedHyperlink">
    <w:name w:val="FollowedHyperlink"/>
    <w:basedOn w:val="DefaultParagraphFont"/>
    <w:uiPriority w:val="99"/>
    <w:semiHidden/>
    <w:unhideWhenUsed/>
    <w:rsid w:val="00A12F5D"/>
    <w:rPr>
      <w:color w:val="800080" w:themeColor="followedHyperlink"/>
      <w:u w:val="single"/>
    </w:rPr>
  </w:style>
  <w:style w:type="character" w:styleId="Mention">
    <w:name w:val="Mention"/>
    <w:basedOn w:val="DefaultParagraphFont"/>
    <w:uiPriority w:val="99"/>
    <w:unhideWhenUsed/>
    <w:rsid w:val="00995534"/>
    <w:rPr>
      <w:color w:val="2B579A"/>
      <w:shd w:val="clear" w:color="auto" w:fill="E1DFDD"/>
    </w:rPr>
  </w:style>
  <w:style w:type="paragraph" w:styleId="BodyText">
    <w:name w:val="Body Text"/>
    <w:link w:val="BodyTextChar"/>
    <w:qFormat/>
    <w:rsid w:val="0090434D"/>
    <w:rPr>
      <w:rFonts w:asciiTheme="minorHAnsi" w:eastAsiaTheme="minorEastAsia" w:hAnsiTheme="minorHAnsi" w:cstheme="minorBidi"/>
      <w:lang w:eastAsia="en-US"/>
    </w:rPr>
  </w:style>
  <w:style w:type="character" w:customStyle="1" w:styleId="BodyTextChar">
    <w:name w:val="Body Text Char"/>
    <w:basedOn w:val="DefaultParagraphFont"/>
    <w:link w:val="BodyText"/>
    <w:rsid w:val="0090434D"/>
    <w:rPr>
      <w:rFonts w:asciiTheme="minorHAnsi" w:eastAsiaTheme="minorEastAsia" w:hAnsiTheme="minorHAnsi" w:cstheme="minorBidi"/>
      <w:lang w:eastAsia="en-US"/>
    </w:rPr>
  </w:style>
  <w:style w:type="paragraph" w:styleId="NormalWeb">
    <w:name w:val="Normal (Web)"/>
    <w:basedOn w:val="Normal"/>
    <w:uiPriority w:val="99"/>
    <w:semiHidden/>
    <w:unhideWhenUsed/>
    <w:rsid w:val="0090434D"/>
    <w:pPr>
      <w:spacing w:after="0"/>
    </w:pPr>
    <w:rPr>
      <w:rFonts w:ascii="Times New Roman" w:eastAsiaTheme="minorEastAsia" w:hAnsi="Times New Roman" w:cs="Times New Roman"/>
      <w:sz w:val="24"/>
      <w:szCs w:val="24"/>
      <w:lang w:eastAsia="en-US"/>
    </w:rPr>
  </w:style>
  <w:style w:type="character" w:customStyle="1" w:styleId="Heading1Char">
    <w:name w:val="Heading 1 Char"/>
    <w:basedOn w:val="DefaultParagraphFont"/>
    <w:link w:val="Heading1"/>
    <w:uiPriority w:val="9"/>
    <w:rsid w:val="001158CB"/>
    <w:rPr>
      <w:rFonts w:ascii="Century Gothic" w:hAnsi="Century Gothic"/>
      <w:b/>
      <w:color w:val="FFFFFF" w:themeColor="background1"/>
      <w:sz w:val="32"/>
      <w:szCs w:val="40"/>
      <w:shd w:val="clear" w:color="auto" w:fill="31849B" w:themeFill="accent5" w:themeFillShade="BF"/>
    </w:rPr>
  </w:style>
  <w:style w:type="table" w:styleId="TableGridLight">
    <w:name w:val="Grid Table Light"/>
    <w:basedOn w:val="TableNormal"/>
    <w:uiPriority w:val="40"/>
    <w:rsid w:val="00BF760C"/>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BF760C"/>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59"/>
    <w:rsid w:val="00BF760C"/>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egasysIntroduction">
    <w:name w:val="Pegasys Introduction"/>
    <w:basedOn w:val="Subtitle"/>
    <w:uiPriority w:val="1"/>
    <w:qFormat/>
    <w:rsid w:val="005713C6"/>
    <w:pPr>
      <w:numPr>
        <w:ilvl w:val="1"/>
      </w:numPr>
      <w:pBdr>
        <w:top w:val="none" w:sz="0" w:space="0" w:color="auto"/>
        <w:left w:val="none" w:sz="0" w:space="0" w:color="auto"/>
        <w:bottom w:val="none" w:sz="0" w:space="0" w:color="auto"/>
        <w:right w:val="none" w:sz="0" w:space="0" w:color="auto"/>
        <w:between w:val="none" w:sz="0" w:space="0" w:color="auto"/>
      </w:pBdr>
      <w:spacing w:after="0" w:line="360" w:lineRule="exact"/>
      <w:jc w:val="both"/>
    </w:pPr>
    <w:rPr>
      <w:rFonts w:ascii="Quire Sans" w:eastAsiaTheme="minorEastAsia" w:hAnsi="Quire Sans" w:cs="Times New Roman (Body CS)"/>
      <w:i w:val="0"/>
      <w:color w:val="000000" w:themeColor="text1"/>
      <w:sz w:val="24"/>
      <w:szCs w:val="22"/>
      <w:lang w:eastAsia="en-US"/>
    </w:rPr>
  </w:style>
  <w:style w:type="character" w:customStyle="1" w:styleId="ListParagraphChar">
    <w:name w:val="List Paragraph Char"/>
    <w:aliases w:val="Bullets Char,RTKL Bullet Char,YC Bulet Char,lp1 Char,List Paragraph1 Char,List Paragraph2 Char,AJK Bullet Char,Body text Char,Párrafo de lista1 Char,soproListenabsatz Char,List Paragraph Char Char Char,Number_1 Char,EOH bullet Char"/>
    <w:basedOn w:val="DefaultParagraphFont"/>
    <w:link w:val="ListParagraph"/>
    <w:uiPriority w:val="34"/>
    <w:qFormat/>
    <w:rsid w:val="00ED41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34189">
      <w:bodyDiv w:val="1"/>
      <w:marLeft w:val="0"/>
      <w:marRight w:val="0"/>
      <w:marTop w:val="0"/>
      <w:marBottom w:val="0"/>
      <w:divBdr>
        <w:top w:val="none" w:sz="0" w:space="0" w:color="auto"/>
        <w:left w:val="none" w:sz="0" w:space="0" w:color="auto"/>
        <w:bottom w:val="none" w:sz="0" w:space="0" w:color="auto"/>
        <w:right w:val="none" w:sz="0" w:space="0" w:color="auto"/>
      </w:divBdr>
    </w:div>
    <w:div w:id="72705288">
      <w:bodyDiv w:val="1"/>
      <w:marLeft w:val="0"/>
      <w:marRight w:val="0"/>
      <w:marTop w:val="0"/>
      <w:marBottom w:val="0"/>
      <w:divBdr>
        <w:top w:val="none" w:sz="0" w:space="0" w:color="auto"/>
        <w:left w:val="none" w:sz="0" w:space="0" w:color="auto"/>
        <w:bottom w:val="none" w:sz="0" w:space="0" w:color="auto"/>
        <w:right w:val="none" w:sz="0" w:space="0" w:color="auto"/>
      </w:divBdr>
    </w:div>
    <w:div w:id="77137407">
      <w:bodyDiv w:val="1"/>
      <w:marLeft w:val="0"/>
      <w:marRight w:val="0"/>
      <w:marTop w:val="0"/>
      <w:marBottom w:val="0"/>
      <w:divBdr>
        <w:top w:val="none" w:sz="0" w:space="0" w:color="auto"/>
        <w:left w:val="none" w:sz="0" w:space="0" w:color="auto"/>
        <w:bottom w:val="none" w:sz="0" w:space="0" w:color="auto"/>
        <w:right w:val="none" w:sz="0" w:space="0" w:color="auto"/>
      </w:divBdr>
    </w:div>
    <w:div w:id="84421730">
      <w:bodyDiv w:val="1"/>
      <w:marLeft w:val="0"/>
      <w:marRight w:val="0"/>
      <w:marTop w:val="0"/>
      <w:marBottom w:val="0"/>
      <w:divBdr>
        <w:top w:val="none" w:sz="0" w:space="0" w:color="auto"/>
        <w:left w:val="none" w:sz="0" w:space="0" w:color="auto"/>
        <w:bottom w:val="none" w:sz="0" w:space="0" w:color="auto"/>
        <w:right w:val="none" w:sz="0" w:space="0" w:color="auto"/>
      </w:divBdr>
    </w:div>
    <w:div w:id="111366374">
      <w:bodyDiv w:val="1"/>
      <w:marLeft w:val="0"/>
      <w:marRight w:val="0"/>
      <w:marTop w:val="0"/>
      <w:marBottom w:val="0"/>
      <w:divBdr>
        <w:top w:val="none" w:sz="0" w:space="0" w:color="auto"/>
        <w:left w:val="none" w:sz="0" w:space="0" w:color="auto"/>
        <w:bottom w:val="none" w:sz="0" w:space="0" w:color="auto"/>
        <w:right w:val="none" w:sz="0" w:space="0" w:color="auto"/>
      </w:divBdr>
    </w:div>
    <w:div w:id="127286824">
      <w:bodyDiv w:val="1"/>
      <w:marLeft w:val="0"/>
      <w:marRight w:val="0"/>
      <w:marTop w:val="0"/>
      <w:marBottom w:val="0"/>
      <w:divBdr>
        <w:top w:val="none" w:sz="0" w:space="0" w:color="auto"/>
        <w:left w:val="none" w:sz="0" w:space="0" w:color="auto"/>
        <w:bottom w:val="none" w:sz="0" w:space="0" w:color="auto"/>
        <w:right w:val="none" w:sz="0" w:space="0" w:color="auto"/>
      </w:divBdr>
    </w:div>
    <w:div w:id="168713800">
      <w:bodyDiv w:val="1"/>
      <w:marLeft w:val="0"/>
      <w:marRight w:val="0"/>
      <w:marTop w:val="0"/>
      <w:marBottom w:val="0"/>
      <w:divBdr>
        <w:top w:val="none" w:sz="0" w:space="0" w:color="auto"/>
        <w:left w:val="none" w:sz="0" w:space="0" w:color="auto"/>
        <w:bottom w:val="none" w:sz="0" w:space="0" w:color="auto"/>
        <w:right w:val="none" w:sz="0" w:space="0" w:color="auto"/>
      </w:divBdr>
    </w:div>
    <w:div w:id="274141302">
      <w:bodyDiv w:val="1"/>
      <w:marLeft w:val="0"/>
      <w:marRight w:val="0"/>
      <w:marTop w:val="0"/>
      <w:marBottom w:val="0"/>
      <w:divBdr>
        <w:top w:val="none" w:sz="0" w:space="0" w:color="auto"/>
        <w:left w:val="none" w:sz="0" w:space="0" w:color="auto"/>
        <w:bottom w:val="none" w:sz="0" w:space="0" w:color="auto"/>
        <w:right w:val="none" w:sz="0" w:space="0" w:color="auto"/>
      </w:divBdr>
    </w:div>
    <w:div w:id="303437976">
      <w:bodyDiv w:val="1"/>
      <w:marLeft w:val="0"/>
      <w:marRight w:val="0"/>
      <w:marTop w:val="0"/>
      <w:marBottom w:val="0"/>
      <w:divBdr>
        <w:top w:val="none" w:sz="0" w:space="0" w:color="auto"/>
        <w:left w:val="none" w:sz="0" w:space="0" w:color="auto"/>
        <w:bottom w:val="none" w:sz="0" w:space="0" w:color="auto"/>
        <w:right w:val="none" w:sz="0" w:space="0" w:color="auto"/>
      </w:divBdr>
    </w:div>
    <w:div w:id="312225201">
      <w:bodyDiv w:val="1"/>
      <w:marLeft w:val="0"/>
      <w:marRight w:val="0"/>
      <w:marTop w:val="0"/>
      <w:marBottom w:val="0"/>
      <w:divBdr>
        <w:top w:val="none" w:sz="0" w:space="0" w:color="auto"/>
        <w:left w:val="none" w:sz="0" w:space="0" w:color="auto"/>
        <w:bottom w:val="none" w:sz="0" w:space="0" w:color="auto"/>
        <w:right w:val="none" w:sz="0" w:space="0" w:color="auto"/>
      </w:divBdr>
    </w:div>
    <w:div w:id="316767554">
      <w:bodyDiv w:val="1"/>
      <w:marLeft w:val="0"/>
      <w:marRight w:val="0"/>
      <w:marTop w:val="0"/>
      <w:marBottom w:val="0"/>
      <w:divBdr>
        <w:top w:val="none" w:sz="0" w:space="0" w:color="auto"/>
        <w:left w:val="none" w:sz="0" w:space="0" w:color="auto"/>
        <w:bottom w:val="none" w:sz="0" w:space="0" w:color="auto"/>
        <w:right w:val="none" w:sz="0" w:space="0" w:color="auto"/>
      </w:divBdr>
    </w:div>
    <w:div w:id="362945626">
      <w:bodyDiv w:val="1"/>
      <w:marLeft w:val="0"/>
      <w:marRight w:val="0"/>
      <w:marTop w:val="0"/>
      <w:marBottom w:val="0"/>
      <w:divBdr>
        <w:top w:val="none" w:sz="0" w:space="0" w:color="auto"/>
        <w:left w:val="none" w:sz="0" w:space="0" w:color="auto"/>
        <w:bottom w:val="none" w:sz="0" w:space="0" w:color="auto"/>
        <w:right w:val="none" w:sz="0" w:space="0" w:color="auto"/>
      </w:divBdr>
    </w:div>
    <w:div w:id="393436565">
      <w:bodyDiv w:val="1"/>
      <w:marLeft w:val="0"/>
      <w:marRight w:val="0"/>
      <w:marTop w:val="0"/>
      <w:marBottom w:val="0"/>
      <w:divBdr>
        <w:top w:val="none" w:sz="0" w:space="0" w:color="auto"/>
        <w:left w:val="none" w:sz="0" w:space="0" w:color="auto"/>
        <w:bottom w:val="none" w:sz="0" w:space="0" w:color="auto"/>
        <w:right w:val="none" w:sz="0" w:space="0" w:color="auto"/>
      </w:divBdr>
    </w:div>
    <w:div w:id="493305554">
      <w:bodyDiv w:val="1"/>
      <w:marLeft w:val="0"/>
      <w:marRight w:val="0"/>
      <w:marTop w:val="0"/>
      <w:marBottom w:val="0"/>
      <w:divBdr>
        <w:top w:val="none" w:sz="0" w:space="0" w:color="auto"/>
        <w:left w:val="none" w:sz="0" w:space="0" w:color="auto"/>
        <w:bottom w:val="none" w:sz="0" w:space="0" w:color="auto"/>
        <w:right w:val="none" w:sz="0" w:space="0" w:color="auto"/>
      </w:divBdr>
    </w:div>
    <w:div w:id="505175285">
      <w:bodyDiv w:val="1"/>
      <w:marLeft w:val="0"/>
      <w:marRight w:val="0"/>
      <w:marTop w:val="0"/>
      <w:marBottom w:val="0"/>
      <w:divBdr>
        <w:top w:val="none" w:sz="0" w:space="0" w:color="auto"/>
        <w:left w:val="none" w:sz="0" w:space="0" w:color="auto"/>
        <w:bottom w:val="none" w:sz="0" w:space="0" w:color="auto"/>
        <w:right w:val="none" w:sz="0" w:space="0" w:color="auto"/>
      </w:divBdr>
    </w:div>
    <w:div w:id="619189500">
      <w:bodyDiv w:val="1"/>
      <w:marLeft w:val="0"/>
      <w:marRight w:val="0"/>
      <w:marTop w:val="0"/>
      <w:marBottom w:val="0"/>
      <w:divBdr>
        <w:top w:val="none" w:sz="0" w:space="0" w:color="auto"/>
        <w:left w:val="none" w:sz="0" w:space="0" w:color="auto"/>
        <w:bottom w:val="none" w:sz="0" w:space="0" w:color="auto"/>
        <w:right w:val="none" w:sz="0" w:space="0" w:color="auto"/>
      </w:divBdr>
    </w:div>
    <w:div w:id="636646048">
      <w:bodyDiv w:val="1"/>
      <w:marLeft w:val="0"/>
      <w:marRight w:val="0"/>
      <w:marTop w:val="0"/>
      <w:marBottom w:val="0"/>
      <w:divBdr>
        <w:top w:val="none" w:sz="0" w:space="0" w:color="auto"/>
        <w:left w:val="none" w:sz="0" w:space="0" w:color="auto"/>
        <w:bottom w:val="none" w:sz="0" w:space="0" w:color="auto"/>
        <w:right w:val="none" w:sz="0" w:space="0" w:color="auto"/>
      </w:divBdr>
    </w:div>
    <w:div w:id="638615234">
      <w:bodyDiv w:val="1"/>
      <w:marLeft w:val="0"/>
      <w:marRight w:val="0"/>
      <w:marTop w:val="0"/>
      <w:marBottom w:val="0"/>
      <w:divBdr>
        <w:top w:val="none" w:sz="0" w:space="0" w:color="auto"/>
        <w:left w:val="none" w:sz="0" w:space="0" w:color="auto"/>
        <w:bottom w:val="none" w:sz="0" w:space="0" w:color="auto"/>
        <w:right w:val="none" w:sz="0" w:space="0" w:color="auto"/>
      </w:divBdr>
    </w:div>
    <w:div w:id="666321164">
      <w:bodyDiv w:val="1"/>
      <w:marLeft w:val="0"/>
      <w:marRight w:val="0"/>
      <w:marTop w:val="0"/>
      <w:marBottom w:val="0"/>
      <w:divBdr>
        <w:top w:val="none" w:sz="0" w:space="0" w:color="auto"/>
        <w:left w:val="none" w:sz="0" w:space="0" w:color="auto"/>
        <w:bottom w:val="none" w:sz="0" w:space="0" w:color="auto"/>
        <w:right w:val="none" w:sz="0" w:space="0" w:color="auto"/>
      </w:divBdr>
    </w:div>
    <w:div w:id="681396488">
      <w:bodyDiv w:val="1"/>
      <w:marLeft w:val="0"/>
      <w:marRight w:val="0"/>
      <w:marTop w:val="0"/>
      <w:marBottom w:val="0"/>
      <w:divBdr>
        <w:top w:val="none" w:sz="0" w:space="0" w:color="auto"/>
        <w:left w:val="none" w:sz="0" w:space="0" w:color="auto"/>
        <w:bottom w:val="none" w:sz="0" w:space="0" w:color="auto"/>
        <w:right w:val="none" w:sz="0" w:space="0" w:color="auto"/>
      </w:divBdr>
    </w:div>
    <w:div w:id="697777470">
      <w:bodyDiv w:val="1"/>
      <w:marLeft w:val="0"/>
      <w:marRight w:val="0"/>
      <w:marTop w:val="0"/>
      <w:marBottom w:val="0"/>
      <w:divBdr>
        <w:top w:val="none" w:sz="0" w:space="0" w:color="auto"/>
        <w:left w:val="none" w:sz="0" w:space="0" w:color="auto"/>
        <w:bottom w:val="none" w:sz="0" w:space="0" w:color="auto"/>
        <w:right w:val="none" w:sz="0" w:space="0" w:color="auto"/>
      </w:divBdr>
    </w:div>
    <w:div w:id="718894140">
      <w:bodyDiv w:val="1"/>
      <w:marLeft w:val="0"/>
      <w:marRight w:val="0"/>
      <w:marTop w:val="0"/>
      <w:marBottom w:val="0"/>
      <w:divBdr>
        <w:top w:val="none" w:sz="0" w:space="0" w:color="auto"/>
        <w:left w:val="none" w:sz="0" w:space="0" w:color="auto"/>
        <w:bottom w:val="none" w:sz="0" w:space="0" w:color="auto"/>
        <w:right w:val="none" w:sz="0" w:space="0" w:color="auto"/>
      </w:divBdr>
    </w:div>
    <w:div w:id="761804193">
      <w:bodyDiv w:val="1"/>
      <w:marLeft w:val="0"/>
      <w:marRight w:val="0"/>
      <w:marTop w:val="0"/>
      <w:marBottom w:val="0"/>
      <w:divBdr>
        <w:top w:val="none" w:sz="0" w:space="0" w:color="auto"/>
        <w:left w:val="none" w:sz="0" w:space="0" w:color="auto"/>
        <w:bottom w:val="none" w:sz="0" w:space="0" w:color="auto"/>
        <w:right w:val="none" w:sz="0" w:space="0" w:color="auto"/>
      </w:divBdr>
    </w:div>
    <w:div w:id="817913962">
      <w:bodyDiv w:val="1"/>
      <w:marLeft w:val="0"/>
      <w:marRight w:val="0"/>
      <w:marTop w:val="0"/>
      <w:marBottom w:val="0"/>
      <w:divBdr>
        <w:top w:val="none" w:sz="0" w:space="0" w:color="auto"/>
        <w:left w:val="none" w:sz="0" w:space="0" w:color="auto"/>
        <w:bottom w:val="none" w:sz="0" w:space="0" w:color="auto"/>
        <w:right w:val="none" w:sz="0" w:space="0" w:color="auto"/>
      </w:divBdr>
    </w:div>
    <w:div w:id="830483470">
      <w:bodyDiv w:val="1"/>
      <w:marLeft w:val="0"/>
      <w:marRight w:val="0"/>
      <w:marTop w:val="0"/>
      <w:marBottom w:val="0"/>
      <w:divBdr>
        <w:top w:val="none" w:sz="0" w:space="0" w:color="auto"/>
        <w:left w:val="none" w:sz="0" w:space="0" w:color="auto"/>
        <w:bottom w:val="none" w:sz="0" w:space="0" w:color="auto"/>
        <w:right w:val="none" w:sz="0" w:space="0" w:color="auto"/>
      </w:divBdr>
    </w:div>
    <w:div w:id="834491812">
      <w:bodyDiv w:val="1"/>
      <w:marLeft w:val="0"/>
      <w:marRight w:val="0"/>
      <w:marTop w:val="0"/>
      <w:marBottom w:val="0"/>
      <w:divBdr>
        <w:top w:val="none" w:sz="0" w:space="0" w:color="auto"/>
        <w:left w:val="none" w:sz="0" w:space="0" w:color="auto"/>
        <w:bottom w:val="none" w:sz="0" w:space="0" w:color="auto"/>
        <w:right w:val="none" w:sz="0" w:space="0" w:color="auto"/>
      </w:divBdr>
    </w:div>
    <w:div w:id="859274974">
      <w:bodyDiv w:val="1"/>
      <w:marLeft w:val="0"/>
      <w:marRight w:val="0"/>
      <w:marTop w:val="0"/>
      <w:marBottom w:val="0"/>
      <w:divBdr>
        <w:top w:val="none" w:sz="0" w:space="0" w:color="auto"/>
        <w:left w:val="none" w:sz="0" w:space="0" w:color="auto"/>
        <w:bottom w:val="none" w:sz="0" w:space="0" w:color="auto"/>
        <w:right w:val="none" w:sz="0" w:space="0" w:color="auto"/>
      </w:divBdr>
    </w:div>
    <w:div w:id="905648772">
      <w:bodyDiv w:val="1"/>
      <w:marLeft w:val="0"/>
      <w:marRight w:val="0"/>
      <w:marTop w:val="0"/>
      <w:marBottom w:val="0"/>
      <w:divBdr>
        <w:top w:val="none" w:sz="0" w:space="0" w:color="auto"/>
        <w:left w:val="none" w:sz="0" w:space="0" w:color="auto"/>
        <w:bottom w:val="none" w:sz="0" w:space="0" w:color="auto"/>
        <w:right w:val="none" w:sz="0" w:space="0" w:color="auto"/>
      </w:divBdr>
    </w:div>
    <w:div w:id="906961462">
      <w:bodyDiv w:val="1"/>
      <w:marLeft w:val="0"/>
      <w:marRight w:val="0"/>
      <w:marTop w:val="0"/>
      <w:marBottom w:val="0"/>
      <w:divBdr>
        <w:top w:val="none" w:sz="0" w:space="0" w:color="auto"/>
        <w:left w:val="none" w:sz="0" w:space="0" w:color="auto"/>
        <w:bottom w:val="none" w:sz="0" w:space="0" w:color="auto"/>
        <w:right w:val="none" w:sz="0" w:space="0" w:color="auto"/>
      </w:divBdr>
      <w:divsChild>
        <w:div w:id="222838303">
          <w:marLeft w:val="0"/>
          <w:marRight w:val="0"/>
          <w:marTop w:val="0"/>
          <w:marBottom w:val="0"/>
          <w:divBdr>
            <w:top w:val="none" w:sz="0" w:space="0" w:color="auto"/>
            <w:left w:val="none" w:sz="0" w:space="0" w:color="auto"/>
            <w:bottom w:val="none" w:sz="0" w:space="0" w:color="auto"/>
            <w:right w:val="none" w:sz="0" w:space="0" w:color="auto"/>
          </w:divBdr>
        </w:div>
      </w:divsChild>
    </w:div>
    <w:div w:id="1038890991">
      <w:bodyDiv w:val="1"/>
      <w:marLeft w:val="0"/>
      <w:marRight w:val="0"/>
      <w:marTop w:val="0"/>
      <w:marBottom w:val="0"/>
      <w:divBdr>
        <w:top w:val="none" w:sz="0" w:space="0" w:color="auto"/>
        <w:left w:val="none" w:sz="0" w:space="0" w:color="auto"/>
        <w:bottom w:val="none" w:sz="0" w:space="0" w:color="auto"/>
        <w:right w:val="none" w:sz="0" w:space="0" w:color="auto"/>
      </w:divBdr>
    </w:div>
    <w:div w:id="1068267063">
      <w:bodyDiv w:val="1"/>
      <w:marLeft w:val="0"/>
      <w:marRight w:val="0"/>
      <w:marTop w:val="0"/>
      <w:marBottom w:val="0"/>
      <w:divBdr>
        <w:top w:val="none" w:sz="0" w:space="0" w:color="auto"/>
        <w:left w:val="none" w:sz="0" w:space="0" w:color="auto"/>
        <w:bottom w:val="none" w:sz="0" w:space="0" w:color="auto"/>
        <w:right w:val="none" w:sz="0" w:space="0" w:color="auto"/>
      </w:divBdr>
    </w:div>
    <w:div w:id="1112627714">
      <w:bodyDiv w:val="1"/>
      <w:marLeft w:val="0"/>
      <w:marRight w:val="0"/>
      <w:marTop w:val="0"/>
      <w:marBottom w:val="0"/>
      <w:divBdr>
        <w:top w:val="none" w:sz="0" w:space="0" w:color="auto"/>
        <w:left w:val="none" w:sz="0" w:space="0" w:color="auto"/>
        <w:bottom w:val="none" w:sz="0" w:space="0" w:color="auto"/>
        <w:right w:val="none" w:sz="0" w:space="0" w:color="auto"/>
      </w:divBdr>
    </w:div>
    <w:div w:id="1155951984">
      <w:bodyDiv w:val="1"/>
      <w:marLeft w:val="0"/>
      <w:marRight w:val="0"/>
      <w:marTop w:val="0"/>
      <w:marBottom w:val="0"/>
      <w:divBdr>
        <w:top w:val="none" w:sz="0" w:space="0" w:color="auto"/>
        <w:left w:val="none" w:sz="0" w:space="0" w:color="auto"/>
        <w:bottom w:val="none" w:sz="0" w:space="0" w:color="auto"/>
        <w:right w:val="none" w:sz="0" w:space="0" w:color="auto"/>
      </w:divBdr>
      <w:divsChild>
        <w:div w:id="1361584169">
          <w:marLeft w:val="0"/>
          <w:marRight w:val="0"/>
          <w:marTop w:val="0"/>
          <w:marBottom w:val="0"/>
          <w:divBdr>
            <w:top w:val="none" w:sz="0" w:space="0" w:color="auto"/>
            <w:left w:val="none" w:sz="0" w:space="0" w:color="auto"/>
            <w:bottom w:val="none" w:sz="0" w:space="0" w:color="auto"/>
            <w:right w:val="none" w:sz="0" w:space="0" w:color="auto"/>
          </w:divBdr>
        </w:div>
      </w:divsChild>
    </w:div>
    <w:div w:id="1180005304">
      <w:bodyDiv w:val="1"/>
      <w:marLeft w:val="0"/>
      <w:marRight w:val="0"/>
      <w:marTop w:val="0"/>
      <w:marBottom w:val="0"/>
      <w:divBdr>
        <w:top w:val="none" w:sz="0" w:space="0" w:color="auto"/>
        <w:left w:val="none" w:sz="0" w:space="0" w:color="auto"/>
        <w:bottom w:val="none" w:sz="0" w:space="0" w:color="auto"/>
        <w:right w:val="none" w:sz="0" w:space="0" w:color="auto"/>
      </w:divBdr>
    </w:div>
    <w:div w:id="1202747813">
      <w:bodyDiv w:val="1"/>
      <w:marLeft w:val="0"/>
      <w:marRight w:val="0"/>
      <w:marTop w:val="0"/>
      <w:marBottom w:val="0"/>
      <w:divBdr>
        <w:top w:val="none" w:sz="0" w:space="0" w:color="auto"/>
        <w:left w:val="none" w:sz="0" w:space="0" w:color="auto"/>
        <w:bottom w:val="none" w:sz="0" w:space="0" w:color="auto"/>
        <w:right w:val="none" w:sz="0" w:space="0" w:color="auto"/>
      </w:divBdr>
    </w:div>
    <w:div w:id="1221093870">
      <w:bodyDiv w:val="1"/>
      <w:marLeft w:val="0"/>
      <w:marRight w:val="0"/>
      <w:marTop w:val="0"/>
      <w:marBottom w:val="0"/>
      <w:divBdr>
        <w:top w:val="none" w:sz="0" w:space="0" w:color="auto"/>
        <w:left w:val="none" w:sz="0" w:space="0" w:color="auto"/>
        <w:bottom w:val="none" w:sz="0" w:space="0" w:color="auto"/>
        <w:right w:val="none" w:sz="0" w:space="0" w:color="auto"/>
      </w:divBdr>
    </w:div>
    <w:div w:id="1305086587">
      <w:bodyDiv w:val="1"/>
      <w:marLeft w:val="0"/>
      <w:marRight w:val="0"/>
      <w:marTop w:val="0"/>
      <w:marBottom w:val="0"/>
      <w:divBdr>
        <w:top w:val="none" w:sz="0" w:space="0" w:color="auto"/>
        <w:left w:val="none" w:sz="0" w:space="0" w:color="auto"/>
        <w:bottom w:val="none" w:sz="0" w:space="0" w:color="auto"/>
        <w:right w:val="none" w:sz="0" w:space="0" w:color="auto"/>
      </w:divBdr>
    </w:div>
    <w:div w:id="1345087763">
      <w:bodyDiv w:val="1"/>
      <w:marLeft w:val="0"/>
      <w:marRight w:val="0"/>
      <w:marTop w:val="0"/>
      <w:marBottom w:val="0"/>
      <w:divBdr>
        <w:top w:val="none" w:sz="0" w:space="0" w:color="auto"/>
        <w:left w:val="none" w:sz="0" w:space="0" w:color="auto"/>
        <w:bottom w:val="none" w:sz="0" w:space="0" w:color="auto"/>
        <w:right w:val="none" w:sz="0" w:space="0" w:color="auto"/>
      </w:divBdr>
    </w:div>
    <w:div w:id="1357584531">
      <w:bodyDiv w:val="1"/>
      <w:marLeft w:val="0"/>
      <w:marRight w:val="0"/>
      <w:marTop w:val="0"/>
      <w:marBottom w:val="0"/>
      <w:divBdr>
        <w:top w:val="none" w:sz="0" w:space="0" w:color="auto"/>
        <w:left w:val="none" w:sz="0" w:space="0" w:color="auto"/>
        <w:bottom w:val="none" w:sz="0" w:space="0" w:color="auto"/>
        <w:right w:val="none" w:sz="0" w:space="0" w:color="auto"/>
      </w:divBdr>
    </w:div>
    <w:div w:id="1372338528">
      <w:bodyDiv w:val="1"/>
      <w:marLeft w:val="0"/>
      <w:marRight w:val="0"/>
      <w:marTop w:val="0"/>
      <w:marBottom w:val="0"/>
      <w:divBdr>
        <w:top w:val="none" w:sz="0" w:space="0" w:color="auto"/>
        <w:left w:val="none" w:sz="0" w:space="0" w:color="auto"/>
        <w:bottom w:val="none" w:sz="0" w:space="0" w:color="auto"/>
        <w:right w:val="none" w:sz="0" w:space="0" w:color="auto"/>
      </w:divBdr>
    </w:div>
    <w:div w:id="1429815016">
      <w:bodyDiv w:val="1"/>
      <w:marLeft w:val="0"/>
      <w:marRight w:val="0"/>
      <w:marTop w:val="0"/>
      <w:marBottom w:val="0"/>
      <w:divBdr>
        <w:top w:val="none" w:sz="0" w:space="0" w:color="auto"/>
        <w:left w:val="none" w:sz="0" w:space="0" w:color="auto"/>
        <w:bottom w:val="none" w:sz="0" w:space="0" w:color="auto"/>
        <w:right w:val="none" w:sz="0" w:space="0" w:color="auto"/>
      </w:divBdr>
    </w:div>
    <w:div w:id="1446584005">
      <w:bodyDiv w:val="1"/>
      <w:marLeft w:val="0"/>
      <w:marRight w:val="0"/>
      <w:marTop w:val="0"/>
      <w:marBottom w:val="0"/>
      <w:divBdr>
        <w:top w:val="none" w:sz="0" w:space="0" w:color="auto"/>
        <w:left w:val="none" w:sz="0" w:space="0" w:color="auto"/>
        <w:bottom w:val="none" w:sz="0" w:space="0" w:color="auto"/>
        <w:right w:val="none" w:sz="0" w:space="0" w:color="auto"/>
      </w:divBdr>
    </w:div>
    <w:div w:id="1472673149">
      <w:bodyDiv w:val="1"/>
      <w:marLeft w:val="0"/>
      <w:marRight w:val="0"/>
      <w:marTop w:val="0"/>
      <w:marBottom w:val="0"/>
      <w:divBdr>
        <w:top w:val="none" w:sz="0" w:space="0" w:color="auto"/>
        <w:left w:val="none" w:sz="0" w:space="0" w:color="auto"/>
        <w:bottom w:val="none" w:sz="0" w:space="0" w:color="auto"/>
        <w:right w:val="none" w:sz="0" w:space="0" w:color="auto"/>
      </w:divBdr>
    </w:div>
    <w:div w:id="1499081621">
      <w:bodyDiv w:val="1"/>
      <w:marLeft w:val="0"/>
      <w:marRight w:val="0"/>
      <w:marTop w:val="0"/>
      <w:marBottom w:val="0"/>
      <w:divBdr>
        <w:top w:val="none" w:sz="0" w:space="0" w:color="auto"/>
        <w:left w:val="none" w:sz="0" w:space="0" w:color="auto"/>
        <w:bottom w:val="none" w:sz="0" w:space="0" w:color="auto"/>
        <w:right w:val="none" w:sz="0" w:space="0" w:color="auto"/>
      </w:divBdr>
    </w:div>
    <w:div w:id="1538007959">
      <w:bodyDiv w:val="1"/>
      <w:marLeft w:val="0"/>
      <w:marRight w:val="0"/>
      <w:marTop w:val="0"/>
      <w:marBottom w:val="0"/>
      <w:divBdr>
        <w:top w:val="none" w:sz="0" w:space="0" w:color="auto"/>
        <w:left w:val="none" w:sz="0" w:space="0" w:color="auto"/>
        <w:bottom w:val="none" w:sz="0" w:space="0" w:color="auto"/>
        <w:right w:val="none" w:sz="0" w:space="0" w:color="auto"/>
      </w:divBdr>
    </w:div>
    <w:div w:id="1669477836">
      <w:bodyDiv w:val="1"/>
      <w:marLeft w:val="0"/>
      <w:marRight w:val="0"/>
      <w:marTop w:val="0"/>
      <w:marBottom w:val="0"/>
      <w:divBdr>
        <w:top w:val="none" w:sz="0" w:space="0" w:color="auto"/>
        <w:left w:val="none" w:sz="0" w:space="0" w:color="auto"/>
        <w:bottom w:val="none" w:sz="0" w:space="0" w:color="auto"/>
        <w:right w:val="none" w:sz="0" w:space="0" w:color="auto"/>
      </w:divBdr>
    </w:div>
    <w:div w:id="1684550294">
      <w:bodyDiv w:val="1"/>
      <w:marLeft w:val="0"/>
      <w:marRight w:val="0"/>
      <w:marTop w:val="0"/>
      <w:marBottom w:val="0"/>
      <w:divBdr>
        <w:top w:val="none" w:sz="0" w:space="0" w:color="auto"/>
        <w:left w:val="none" w:sz="0" w:space="0" w:color="auto"/>
        <w:bottom w:val="none" w:sz="0" w:space="0" w:color="auto"/>
        <w:right w:val="none" w:sz="0" w:space="0" w:color="auto"/>
      </w:divBdr>
    </w:div>
    <w:div w:id="1708027404">
      <w:bodyDiv w:val="1"/>
      <w:marLeft w:val="0"/>
      <w:marRight w:val="0"/>
      <w:marTop w:val="0"/>
      <w:marBottom w:val="0"/>
      <w:divBdr>
        <w:top w:val="none" w:sz="0" w:space="0" w:color="auto"/>
        <w:left w:val="none" w:sz="0" w:space="0" w:color="auto"/>
        <w:bottom w:val="none" w:sz="0" w:space="0" w:color="auto"/>
        <w:right w:val="none" w:sz="0" w:space="0" w:color="auto"/>
      </w:divBdr>
    </w:div>
    <w:div w:id="1715933444">
      <w:bodyDiv w:val="1"/>
      <w:marLeft w:val="0"/>
      <w:marRight w:val="0"/>
      <w:marTop w:val="0"/>
      <w:marBottom w:val="0"/>
      <w:divBdr>
        <w:top w:val="none" w:sz="0" w:space="0" w:color="auto"/>
        <w:left w:val="none" w:sz="0" w:space="0" w:color="auto"/>
        <w:bottom w:val="none" w:sz="0" w:space="0" w:color="auto"/>
        <w:right w:val="none" w:sz="0" w:space="0" w:color="auto"/>
      </w:divBdr>
    </w:div>
    <w:div w:id="1728994428">
      <w:bodyDiv w:val="1"/>
      <w:marLeft w:val="0"/>
      <w:marRight w:val="0"/>
      <w:marTop w:val="0"/>
      <w:marBottom w:val="0"/>
      <w:divBdr>
        <w:top w:val="none" w:sz="0" w:space="0" w:color="auto"/>
        <w:left w:val="none" w:sz="0" w:space="0" w:color="auto"/>
        <w:bottom w:val="none" w:sz="0" w:space="0" w:color="auto"/>
        <w:right w:val="none" w:sz="0" w:space="0" w:color="auto"/>
      </w:divBdr>
    </w:div>
    <w:div w:id="1743335335">
      <w:bodyDiv w:val="1"/>
      <w:marLeft w:val="0"/>
      <w:marRight w:val="0"/>
      <w:marTop w:val="0"/>
      <w:marBottom w:val="0"/>
      <w:divBdr>
        <w:top w:val="none" w:sz="0" w:space="0" w:color="auto"/>
        <w:left w:val="none" w:sz="0" w:space="0" w:color="auto"/>
        <w:bottom w:val="none" w:sz="0" w:space="0" w:color="auto"/>
        <w:right w:val="none" w:sz="0" w:space="0" w:color="auto"/>
      </w:divBdr>
      <w:divsChild>
        <w:div w:id="1866597262">
          <w:marLeft w:val="0"/>
          <w:marRight w:val="0"/>
          <w:marTop w:val="0"/>
          <w:marBottom w:val="0"/>
          <w:divBdr>
            <w:top w:val="none" w:sz="0" w:space="0" w:color="auto"/>
            <w:left w:val="none" w:sz="0" w:space="0" w:color="auto"/>
            <w:bottom w:val="none" w:sz="0" w:space="0" w:color="auto"/>
            <w:right w:val="none" w:sz="0" w:space="0" w:color="auto"/>
          </w:divBdr>
        </w:div>
      </w:divsChild>
    </w:div>
    <w:div w:id="1819612808">
      <w:bodyDiv w:val="1"/>
      <w:marLeft w:val="0"/>
      <w:marRight w:val="0"/>
      <w:marTop w:val="0"/>
      <w:marBottom w:val="0"/>
      <w:divBdr>
        <w:top w:val="none" w:sz="0" w:space="0" w:color="auto"/>
        <w:left w:val="none" w:sz="0" w:space="0" w:color="auto"/>
        <w:bottom w:val="none" w:sz="0" w:space="0" w:color="auto"/>
        <w:right w:val="none" w:sz="0" w:space="0" w:color="auto"/>
      </w:divBdr>
    </w:div>
    <w:div w:id="1840776666">
      <w:bodyDiv w:val="1"/>
      <w:marLeft w:val="0"/>
      <w:marRight w:val="0"/>
      <w:marTop w:val="0"/>
      <w:marBottom w:val="0"/>
      <w:divBdr>
        <w:top w:val="none" w:sz="0" w:space="0" w:color="auto"/>
        <w:left w:val="none" w:sz="0" w:space="0" w:color="auto"/>
        <w:bottom w:val="none" w:sz="0" w:space="0" w:color="auto"/>
        <w:right w:val="none" w:sz="0" w:space="0" w:color="auto"/>
      </w:divBdr>
    </w:div>
    <w:div w:id="1844664677">
      <w:bodyDiv w:val="1"/>
      <w:marLeft w:val="0"/>
      <w:marRight w:val="0"/>
      <w:marTop w:val="0"/>
      <w:marBottom w:val="0"/>
      <w:divBdr>
        <w:top w:val="none" w:sz="0" w:space="0" w:color="auto"/>
        <w:left w:val="none" w:sz="0" w:space="0" w:color="auto"/>
        <w:bottom w:val="none" w:sz="0" w:space="0" w:color="auto"/>
        <w:right w:val="none" w:sz="0" w:space="0" w:color="auto"/>
      </w:divBdr>
    </w:div>
    <w:div w:id="1893929656">
      <w:bodyDiv w:val="1"/>
      <w:marLeft w:val="0"/>
      <w:marRight w:val="0"/>
      <w:marTop w:val="0"/>
      <w:marBottom w:val="0"/>
      <w:divBdr>
        <w:top w:val="none" w:sz="0" w:space="0" w:color="auto"/>
        <w:left w:val="none" w:sz="0" w:space="0" w:color="auto"/>
        <w:bottom w:val="none" w:sz="0" w:space="0" w:color="auto"/>
        <w:right w:val="none" w:sz="0" w:space="0" w:color="auto"/>
      </w:divBdr>
    </w:div>
    <w:div w:id="1986276683">
      <w:bodyDiv w:val="1"/>
      <w:marLeft w:val="0"/>
      <w:marRight w:val="0"/>
      <w:marTop w:val="0"/>
      <w:marBottom w:val="0"/>
      <w:divBdr>
        <w:top w:val="none" w:sz="0" w:space="0" w:color="auto"/>
        <w:left w:val="none" w:sz="0" w:space="0" w:color="auto"/>
        <w:bottom w:val="none" w:sz="0" w:space="0" w:color="auto"/>
        <w:right w:val="none" w:sz="0" w:space="0" w:color="auto"/>
      </w:divBdr>
    </w:div>
    <w:div w:id="1999073697">
      <w:bodyDiv w:val="1"/>
      <w:marLeft w:val="0"/>
      <w:marRight w:val="0"/>
      <w:marTop w:val="0"/>
      <w:marBottom w:val="0"/>
      <w:divBdr>
        <w:top w:val="none" w:sz="0" w:space="0" w:color="auto"/>
        <w:left w:val="none" w:sz="0" w:space="0" w:color="auto"/>
        <w:bottom w:val="none" w:sz="0" w:space="0" w:color="auto"/>
        <w:right w:val="none" w:sz="0" w:space="0" w:color="auto"/>
      </w:divBdr>
    </w:div>
    <w:div w:id="2028863951">
      <w:bodyDiv w:val="1"/>
      <w:marLeft w:val="0"/>
      <w:marRight w:val="0"/>
      <w:marTop w:val="0"/>
      <w:marBottom w:val="0"/>
      <w:divBdr>
        <w:top w:val="none" w:sz="0" w:space="0" w:color="auto"/>
        <w:left w:val="none" w:sz="0" w:space="0" w:color="auto"/>
        <w:bottom w:val="none" w:sz="0" w:space="0" w:color="auto"/>
        <w:right w:val="none" w:sz="0" w:space="0" w:color="auto"/>
      </w:divBdr>
    </w:div>
    <w:div w:id="2074114653">
      <w:bodyDiv w:val="1"/>
      <w:marLeft w:val="0"/>
      <w:marRight w:val="0"/>
      <w:marTop w:val="0"/>
      <w:marBottom w:val="0"/>
      <w:divBdr>
        <w:top w:val="none" w:sz="0" w:space="0" w:color="auto"/>
        <w:left w:val="none" w:sz="0" w:space="0" w:color="auto"/>
        <w:bottom w:val="none" w:sz="0" w:space="0" w:color="auto"/>
        <w:right w:val="none" w:sz="0" w:space="0" w:color="auto"/>
      </w:divBdr>
    </w:div>
    <w:div w:id="21190630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mailto:gerhardus.jozoua.mynhardt@za.ey.com" TargetMode="External"/><Relationship Id="rId21" Type="http://schemas.openxmlformats.org/officeDocument/2006/relationships/hyperlink" Target="https://www.sseg.org.za/cos/" TargetMode="External"/><Relationship Id="rId42" Type="http://schemas.microsoft.com/office/2007/relationships/hdphoto" Target="media/hdphoto1.wdp"/><Relationship Id="rId47" Type="http://schemas.openxmlformats.org/officeDocument/2006/relationships/hyperlink" Target="https://www.eskom.co.za/distribution/wp-content/uploads/2023/07/20230710_-9553-Virtual-Wheeling-Digital-Brochure-FINAL.pdf" TargetMode="External"/><Relationship Id="rId63" Type="http://schemas.openxmlformats.org/officeDocument/2006/relationships/hyperlink" Target="https://www.sseg.org.za/wheeling-revenue-impact-excel-model/" TargetMode="External"/><Relationship Id="rId68" Type="http://schemas.openxmlformats.org/officeDocument/2006/relationships/hyperlink" Target="https://www.eskom.co.za/distribution/wp-content/uploads/2023/07/20230710_-9553-Virtual-Wheeling-Digital-Brochure-FINAL.pdf" TargetMode="Externa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package" Target="embeddings/Microsoft_PowerPoint_Presentation.pptx"/><Relationship Id="rId11" Type="http://schemas.openxmlformats.org/officeDocument/2006/relationships/image" Target="media/image1.jpeg"/><Relationship Id="rId24" Type="http://schemas.openxmlformats.org/officeDocument/2006/relationships/hyperlink" Target="https://www.sseg.org.za/template-municipal-wheeling-guideline/" TargetMode="External"/><Relationship Id="rId32" Type="http://schemas.openxmlformats.org/officeDocument/2006/relationships/hyperlink" Target="https://www.westerncape.gov.za/110green/energy/wheeling" TargetMode="External"/><Relationship Id="rId37" Type="http://schemas.openxmlformats.org/officeDocument/2006/relationships/hyperlink" Target="https://www.nersa.org.za/wp-content/uploads/2022/01/RSA-Distribution-Tariff-Code-Vers-6.2.pdf" TargetMode="External"/><Relationship Id="rId40" Type="http://schemas.openxmlformats.org/officeDocument/2006/relationships/hyperlink" Target="https://www.sseg.org.za/cos/" TargetMode="External"/><Relationship Id="rId45" Type="http://schemas.openxmlformats.org/officeDocument/2006/relationships/image" Target="media/image18.emf"/><Relationship Id="rId53" Type="http://schemas.openxmlformats.org/officeDocument/2006/relationships/image" Target="media/image25.emf"/><Relationship Id="rId58" Type="http://schemas.openxmlformats.org/officeDocument/2006/relationships/hyperlink" Target="https://www.sseg.org.za/era-schedule-2-embedded-generation-license-exemption-15dec2022/" TargetMode="External"/><Relationship Id="rId66" Type="http://schemas.openxmlformats.org/officeDocument/2006/relationships/hyperlink" Target="https://www.sseg.org.za/salga-status-of-wheeling-report-2023/" TargetMode="External"/><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mailto:contact@municipality.gov.za" TargetMode="External"/><Relationship Id="rId1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https://www.energy.gov.za/files/policies/Electricity%20Pricing%20Policy%2019Dec2008.pdf" TargetMode="External"/><Relationship Id="rId27" Type="http://schemas.openxmlformats.org/officeDocument/2006/relationships/image" Target="media/image10.jpeg"/><Relationship Id="rId30" Type="http://schemas.openxmlformats.org/officeDocument/2006/relationships/image" Target="media/image12.png"/><Relationship Id="rId35" Type="http://schemas.openxmlformats.org/officeDocument/2006/relationships/hyperlink" Target="https://www.energy.gov.za/files/policies/ELECTRICITY%20REGULATION%20ACT%204%20OF%202006.pdf" TargetMode="External"/><Relationship Id="rId43" Type="http://schemas.openxmlformats.org/officeDocument/2006/relationships/image" Target="media/image16.png"/><Relationship Id="rId48" Type="http://schemas.openxmlformats.org/officeDocument/2006/relationships/image" Target="media/image20.png"/><Relationship Id="rId56" Type="http://schemas.openxmlformats.org/officeDocument/2006/relationships/hyperlink" Target="mailto:contact@municipality.gov.za" TargetMode="External"/><Relationship Id="rId64" Type="http://schemas.openxmlformats.org/officeDocument/2006/relationships/hyperlink" Target="https://www.sseg.org.za/template-municipal-wheeling-guideline/" TargetMode="External"/><Relationship Id="rId69" Type="http://schemas.openxmlformats.org/officeDocument/2006/relationships/hyperlink" Target="https://www.sseg.org.za/guide-for-municipalities-on-assessing-eg-applications-1mw-and-larger/" TargetMode="External"/><Relationship Id="rId8" Type="http://schemas.openxmlformats.org/officeDocument/2006/relationships/webSettings" Target="webSettings.xml"/><Relationship Id="rId51" Type="http://schemas.openxmlformats.org/officeDocument/2006/relationships/image" Target="media/image23.png"/><Relationship Id="rId72" Type="http://schemas.openxmlformats.org/officeDocument/2006/relationships/hyperlink" Target="https://www.energy.gov.za/files/policies/Electricity%20Pricing%20Policy%2019Dec2008.pdf"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mailto:rashid.khan@za.ey.com" TargetMode="External"/><Relationship Id="rId33" Type="http://schemas.openxmlformats.org/officeDocument/2006/relationships/image" Target="media/image13.emf"/><Relationship Id="rId38" Type="http://schemas.openxmlformats.org/officeDocument/2006/relationships/hyperlink" Target="https://www.eskom.co.za/distribution/wp-content/uploads/2022/03/RSA-Distribution-Code-Definitions-Ver-6.2.pdf" TargetMode="External"/><Relationship Id="rId46" Type="http://schemas.openxmlformats.org/officeDocument/2006/relationships/image" Target="media/image19.png"/><Relationship Id="rId59" Type="http://schemas.openxmlformats.org/officeDocument/2006/relationships/hyperlink" Target="https://www.sseg.org.za/guide-for-municipalities-on-assessing-eg-applications-1mw-and-larger/" TargetMode="External"/><Relationship Id="rId67" Type="http://schemas.openxmlformats.org/officeDocument/2006/relationships/hyperlink" Target="https://www.eskom.co.za/distribution/tariffs-and-charges/wheeling/" TargetMode="External"/><Relationship Id="rId20" Type="http://schemas.openxmlformats.org/officeDocument/2006/relationships/image" Target="media/image9.jpeg"/><Relationship Id="rId41" Type="http://schemas.openxmlformats.org/officeDocument/2006/relationships/image" Target="media/image15.png"/><Relationship Id="rId54" Type="http://schemas.openxmlformats.org/officeDocument/2006/relationships/package" Target="embeddings/Microsoft_Word_Document.docx"/><Relationship Id="rId62" Type="http://schemas.openxmlformats.org/officeDocument/2006/relationships/hyperlink" Target="https://www.youtube.com/watch?v=n-qdiMX-DkE" TargetMode="External"/><Relationship Id="rId70" Type="http://schemas.openxmlformats.org/officeDocument/2006/relationships/hyperlink" Target="https://www.sseg.org.za/cos/"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www.nersa.org.za/wp-content/uploads/2021/01/Published-Consultation-Paper-COS-Framework-Final-1.pdf" TargetMode="External"/><Relationship Id="rId28" Type="http://schemas.openxmlformats.org/officeDocument/2006/relationships/image" Target="media/image11.emf"/><Relationship Id="rId36" Type="http://schemas.openxmlformats.org/officeDocument/2006/relationships/hyperlink" Target="http://www.energy.gov.za/files/policies/Electricity%20Pricing%20Policy%2019Dec2008.pdf" TargetMode="External"/><Relationship Id="rId49" Type="http://schemas.openxmlformats.org/officeDocument/2006/relationships/image" Target="media/image21.png"/><Relationship Id="rId57" Type="http://schemas.openxmlformats.org/officeDocument/2006/relationships/image" Target="media/image26.jpeg"/><Relationship Id="rId10" Type="http://schemas.openxmlformats.org/officeDocument/2006/relationships/endnotes" Target="endnotes.xml"/><Relationship Id="rId31" Type="http://schemas.openxmlformats.org/officeDocument/2006/relationships/hyperlink" Target="https://www.westerncape.gov.za/110green/energy/wheeling" TargetMode="External"/><Relationship Id="rId44" Type="http://schemas.openxmlformats.org/officeDocument/2006/relationships/image" Target="media/image17.emf"/><Relationship Id="rId52" Type="http://schemas.openxmlformats.org/officeDocument/2006/relationships/image" Target="media/image24.png"/><Relationship Id="rId60" Type="http://schemas.openxmlformats.org/officeDocument/2006/relationships/image" Target="media/image27.png"/><Relationship Id="rId65" Type="http://schemas.openxmlformats.org/officeDocument/2006/relationships/hyperlink" Target="https://www.westerncape.gov.za/110green/energy/wheeling" TargetMode="External"/><Relationship Id="rId73" Type="http://schemas.openxmlformats.org/officeDocument/2006/relationships/hyperlink" Target="https://www.nersa.org.za/electricity-overview/electricity-grid-code/"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1.xml"/><Relationship Id="rId39" Type="http://schemas.openxmlformats.org/officeDocument/2006/relationships/hyperlink" Target="https://www.cityenergy.org.za/uploads/resource_451.pdf" TargetMode="External"/><Relationship Id="rId34" Type="http://schemas.openxmlformats.org/officeDocument/2006/relationships/image" Target="media/image14.emf"/><Relationship Id="rId50" Type="http://schemas.openxmlformats.org/officeDocument/2006/relationships/image" Target="media/image22.png"/><Relationship Id="rId55" Type="http://schemas.openxmlformats.org/officeDocument/2006/relationships/hyperlink" Target="mailto:" TargetMode="External"/><Relationship Id="rId76" Type="http://schemas.microsoft.com/office/2019/05/relationships/documenttasks" Target="documenttasks/documenttasks1.xml"/><Relationship Id="rId7" Type="http://schemas.openxmlformats.org/officeDocument/2006/relationships/settings" Target="settings.xml"/><Relationship Id="rId71" Type="http://schemas.openxmlformats.org/officeDocument/2006/relationships/hyperlink" Target="https://www.nersa.org.za/wp-content/uploads/2021/01/Published-Consultation-Paper-COS-Framework-Final-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documenttasks/documenttasks1.xml><?xml version="1.0" encoding="utf-8"?>
<t:Tasks xmlns:t="http://schemas.microsoft.com/office/tasks/2019/documenttasks" xmlns:oel="http://schemas.microsoft.com/office/2019/extlst">
  <t:Task id="{DA0328FF-5A30-4F91-AA2E-C546AE03E629}">
    <t:Anchor>
      <t:Comment id="674678206"/>
    </t:Anchor>
    <t:History>
      <t:Event id="{B979D79F-AFF2-49D2-877D-691FD5A63C6E}" time="2023-06-26T10:04:35.068Z">
        <t:Attribution userId="S::pieter.de.villiers@za.ey.com::6b8b2ed2-2a4f-4928-9eb5-20f0bf28f258" userProvider="AD" userName="Pieter de Villiers"/>
        <t:Anchor>
          <t:Comment id="1898144542"/>
        </t:Anchor>
        <t:Create/>
      </t:Event>
      <t:Event id="{D5B2F7C7-3D6E-42F1-A3F9-7797AA8DA2C9}" time="2023-06-26T10:04:35.068Z">
        <t:Attribution userId="S::pieter.de.villiers@za.ey.com::6b8b2ed2-2a4f-4928-9eb5-20f0bf28f258" userProvider="AD" userName="Pieter de Villiers"/>
        <t:Anchor>
          <t:Comment id="1898144542"/>
        </t:Anchor>
        <t:Assign userId="S::Rashid.Khan@za.ey.com::edcf90fe-b856-43cc-b214-fdda0a97a16b" userProvider="AD" userName="Rashid Khan"/>
      </t:Event>
      <t:Event id="{68AE4580-B85F-45E3-9A24-4106CCB18ABB}" time="2023-06-26T10:04:35.068Z">
        <t:Attribution userId="S::pieter.de.villiers@za.ey.com::6b8b2ed2-2a4f-4928-9eb5-20f0bf28f258" userProvider="AD" userName="Pieter de Villiers"/>
        <t:Anchor>
          <t:Comment id="1898144542"/>
        </t:Anchor>
        <t:SetTitle title="@Rashid Khan we can work on the first two bullet points. The last two bullet points will require someone with knowledge about municipal internal processes and hierarchy. Do we know someone in EY that can assist?"/>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B40E481C9FC5A469B54B1CBE40EAA3B" ma:contentTypeVersion="12" ma:contentTypeDescription="Create a new document." ma:contentTypeScope="" ma:versionID="b4ec1ee6f9fc15c171155da879a46a22">
  <xsd:schema xmlns:xsd="http://www.w3.org/2001/XMLSchema" xmlns:xs="http://www.w3.org/2001/XMLSchema" xmlns:p="http://schemas.microsoft.com/office/2006/metadata/properties" xmlns:ns2="ee8fca64-3db5-48c9-bd60-7ed2f99fbf0f" xmlns:ns3="87532ef1-b0d9-41a9-aea7-842728019029" targetNamespace="http://schemas.microsoft.com/office/2006/metadata/properties" ma:root="true" ma:fieldsID="ad31de9e2f3e30b384ecf809d4087403" ns2:_="" ns3:_="">
    <xsd:import namespace="ee8fca64-3db5-48c9-bd60-7ed2f99fbf0f"/>
    <xsd:import namespace="87532ef1-b0d9-41a9-aea7-84272801902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8fca64-3db5-48c9-bd60-7ed2f99fbf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3ef62f9-2e07-484b-bd79-00aec90129f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532ef1-b0d9-41a9-aea7-8427280190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e0d4251d-d6a6-4f9f-a4c7-06e48cd4fead}" ma:internalName="TaxCatchAll" ma:showField="CatchAllData" ma:web="87532ef1-b0d9-41a9-aea7-8427280190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87532ef1-b0d9-41a9-aea7-842728019029">
      <UserInfo>
        <DisplayName>Gerhardus Jozua Mynhardt</DisplayName>
        <AccountId>18</AccountId>
        <AccountType/>
      </UserInfo>
    </SharedWithUsers>
    <TaxCatchAll xmlns="87532ef1-b0d9-41a9-aea7-842728019029" xsi:nil="true"/>
    <lcf76f155ced4ddcb4097134ff3c332f xmlns="ee8fca64-3db5-48c9-bd60-7ed2f99fbf0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22710EF-0C61-4EC6-94FB-9FDBE8BE4B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8fca64-3db5-48c9-bd60-7ed2f99fbf0f"/>
    <ds:schemaRef ds:uri="87532ef1-b0d9-41a9-aea7-8427280190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93172C-B79B-47DB-A756-5415F42E73C5}">
  <ds:schemaRefs>
    <ds:schemaRef ds:uri="http://schemas.microsoft.com/office/2006/metadata/properties"/>
    <ds:schemaRef ds:uri="http://schemas.microsoft.com/office/infopath/2007/PartnerControls"/>
    <ds:schemaRef ds:uri="87532ef1-b0d9-41a9-aea7-842728019029"/>
    <ds:schemaRef ds:uri="ee8fca64-3db5-48c9-bd60-7ed2f99fbf0f"/>
  </ds:schemaRefs>
</ds:datastoreItem>
</file>

<file path=customXml/itemProps3.xml><?xml version="1.0" encoding="utf-8"?>
<ds:datastoreItem xmlns:ds="http://schemas.openxmlformats.org/officeDocument/2006/customXml" ds:itemID="{C223D08C-EEA2-41E6-9308-2675D897C25F}">
  <ds:schemaRefs>
    <ds:schemaRef ds:uri="http://schemas.openxmlformats.org/officeDocument/2006/bibliography"/>
  </ds:schemaRefs>
</ds:datastoreItem>
</file>

<file path=customXml/itemProps4.xml><?xml version="1.0" encoding="utf-8"?>
<ds:datastoreItem xmlns:ds="http://schemas.openxmlformats.org/officeDocument/2006/customXml" ds:itemID="{0425A8F9-5493-4817-96B5-40AA5C9C415B}">
  <ds:schemaRefs>
    <ds:schemaRef ds:uri="http://schemas.microsoft.com/sharepoint/v3/contenttype/forms"/>
  </ds:schemaRefs>
</ds:datastoreItem>
</file>

<file path=docProps/CustomMKOP.xml><?xml version="1.0" encoding="utf-8"?>
<Properties xmlns="http://schemas.openxmlformats.org/officeDocument/2006/custom-properties" xmlns:vt="http://schemas.openxmlformats.org/officeDocument/2006/docPropsVTypes">
  <property fmtid="{D5CDD505-2E9C-101B-9397-08002B2CF9AE}" pid="2" name="MKProdID">
    <vt:lpwstr>ZMOutlook</vt:lpwstr>
  </property>
  <property fmtid="{D5CDD505-2E9C-101B-9397-08002B2CF9AE}" pid="3" name="SizeBefore">
    <vt:lpwstr>6572411</vt:lpwstr>
  </property>
  <property fmtid="{D5CDD505-2E9C-101B-9397-08002B2CF9AE}" pid="4" name="OptimizationTime">
    <vt:lpwstr>20230913_1139</vt:lpwstr>
  </property>
</Properties>
</file>

<file path=docProps/app.xml><?xml version="1.0" encoding="utf-8"?>
<Properties xmlns="http://schemas.openxmlformats.org/officeDocument/2006/extended-properties" xmlns:vt="http://schemas.openxmlformats.org/officeDocument/2006/docPropsVTypes">
  <Template>Normal.dotm</Template>
  <TotalTime>144</TotalTime>
  <Pages>76</Pages>
  <Words>32467</Words>
  <Characters>185068</Characters>
  <Application>Microsoft Office Word</Application>
  <DocSecurity>0</DocSecurity>
  <Lines>1542</Lines>
  <Paragraphs>434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217101</CharactersWithSpaces>
  <SharedDoc>false</SharedDoc>
  <HLinks>
    <vt:vector size="228" baseType="variant">
      <vt:variant>
        <vt:i4>3866686</vt:i4>
      </vt:variant>
      <vt:variant>
        <vt:i4>177</vt:i4>
      </vt:variant>
      <vt:variant>
        <vt:i4>0</vt:i4>
      </vt:variant>
      <vt:variant>
        <vt:i4>5</vt:i4>
      </vt:variant>
      <vt:variant>
        <vt:lpwstr>https://www.nersa.org.za/wp-content/uploads/2021/08/SAGC-Governance-Version-10.pdf</vt:lpwstr>
      </vt:variant>
      <vt:variant>
        <vt:lpwstr/>
      </vt:variant>
      <vt:variant>
        <vt:i4>6488176</vt:i4>
      </vt:variant>
      <vt:variant>
        <vt:i4>174</vt:i4>
      </vt:variant>
      <vt:variant>
        <vt:i4>0</vt:i4>
      </vt:variant>
      <vt:variant>
        <vt:i4>5</vt:i4>
      </vt:variant>
      <vt:variant>
        <vt:lpwstr>https://www.nersa.org.za/wp-content/uploads/2021/08/SAGC-Network-Version-10.pdf</vt:lpwstr>
      </vt:variant>
      <vt:variant>
        <vt:lpwstr/>
      </vt:variant>
      <vt:variant>
        <vt:i4>5111877</vt:i4>
      </vt:variant>
      <vt:variant>
        <vt:i4>171</vt:i4>
      </vt:variant>
      <vt:variant>
        <vt:i4>0</vt:i4>
      </vt:variant>
      <vt:variant>
        <vt:i4>5</vt:i4>
      </vt:variant>
      <vt:variant>
        <vt:lpwstr>https://www.nersa.org.za/wp-content/uploads/2021/08/SAGC-Preamble-Version-10.pdf</vt:lpwstr>
      </vt:variant>
      <vt:variant>
        <vt:lpwstr/>
      </vt:variant>
      <vt:variant>
        <vt:i4>983065</vt:i4>
      </vt:variant>
      <vt:variant>
        <vt:i4>168</vt:i4>
      </vt:variant>
      <vt:variant>
        <vt:i4>0</vt:i4>
      </vt:variant>
      <vt:variant>
        <vt:i4>5</vt:i4>
      </vt:variant>
      <vt:variant>
        <vt:lpwstr>https://www.nersa.org.za/electricity-overview/electricity-grid-code/</vt:lpwstr>
      </vt:variant>
      <vt:variant>
        <vt:lpwstr/>
      </vt:variant>
      <vt:variant>
        <vt:i4>983065</vt:i4>
      </vt:variant>
      <vt:variant>
        <vt:i4>165</vt:i4>
      </vt:variant>
      <vt:variant>
        <vt:i4>0</vt:i4>
      </vt:variant>
      <vt:variant>
        <vt:i4>5</vt:i4>
      </vt:variant>
      <vt:variant>
        <vt:lpwstr>https://www.nersa.org.za/electricity-overview/electricity-grid-code/</vt:lpwstr>
      </vt:variant>
      <vt:variant>
        <vt:lpwstr/>
      </vt:variant>
      <vt:variant>
        <vt:i4>6225948</vt:i4>
      </vt:variant>
      <vt:variant>
        <vt:i4>162</vt:i4>
      </vt:variant>
      <vt:variant>
        <vt:i4>0</vt:i4>
      </vt:variant>
      <vt:variant>
        <vt:i4>5</vt:i4>
      </vt:variant>
      <vt:variant>
        <vt:lpwstr>https://www.sseg.org.za/guide-for-municipalities-on-assessing-eg-applications-1mw-and-larger/</vt:lpwstr>
      </vt:variant>
      <vt:variant>
        <vt:lpwstr/>
      </vt:variant>
      <vt:variant>
        <vt:i4>8126493</vt:i4>
      </vt:variant>
      <vt:variant>
        <vt:i4>159</vt:i4>
      </vt:variant>
      <vt:variant>
        <vt:i4>0</vt:i4>
      </vt:variant>
      <vt:variant>
        <vt:i4>5</vt:i4>
      </vt:variant>
      <vt:variant>
        <vt:lpwstr>mailto:contact@municipality.gov.za</vt:lpwstr>
      </vt:variant>
      <vt:variant>
        <vt:lpwstr/>
      </vt:variant>
      <vt:variant>
        <vt:i4>6225948</vt:i4>
      </vt:variant>
      <vt:variant>
        <vt:i4>156</vt:i4>
      </vt:variant>
      <vt:variant>
        <vt:i4>0</vt:i4>
      </vt:variant>
      <vt:variant>
        <vt:i4>5</vt:i4>
      </vt:variant>
      <vt:variant>
        <vt:lpwstr>https://www.sseg.org.za/guide-for-municipalities-on-assessing-eg-applications-1mw-and-larger/</vt:lpwstr>
      </vt:variant>
      <vt:variant>
        <vt:lpwstr/>
      </vt:variant>
      <vt:variant>
        <vt:i4>7340086</vt:i4>
      </vt:variant>
      <vt:variant>
        <vt:i4>153</vt:i4>
      </vt:variant>
      <vt:variant>
        <vt:i4>0</vt:i4>
      </vt:variant>
      <vt:variant>
        <vt:i4>5</vt:i4>
      </vt:variant>
      <vt:variant>
        <vt:lpwstr>https://www.sseg.org.za/era-schedule-2-embedded-generation-license-exemption-15dec2022/</vt:lpwstr>
      </vt:variant>
      <vt:variant>
        <vt:lpwstr/>
      </vt:variant>
      <vt:variant>
        <vt:i4>8126493</vt:i4>
      </vt:variant>
      <vt:variant>
        <vt:i4>150</vt:i4>
      </vt:variant>
      <vt:variant>
        <vt:i4>0</vt:i4>
      </vt:variant>
      <vt:variant>
        <vt:i4>5</vt:i4>
      </vt:variant>
      <vt:variant>
        <vt:lpwstr>mailto:contact@municipality.gov.za</vt:lpwstr>
      </vt:variant>
      <vt:variant>
        <vt:lpwstr/>
      </vt:variant>
      <vt:variant>
        <vt:i4>8126493</vt:i4>
      </vt:variant>
      <vt:variant>
        <vt:i4>147</vt:i4>
      </vt:variant>
      <vt:variant>
        <vt:i4>0</vt:i4>
      </vt:variant>
      <vt:variant>
        <vt:i4>5</vt:i4>
      </vt:variant>
      <vt:variant>
        <vt:lpwstr>mailto:contact@municipality.gov.za</vt:lpwstr>
      </vt:variant>
      <vt:variant>
        <vt:lpwstr/>
      </vt:variant>
      <vt:variant>
        <vt:i4>4259925</vt:i4>
      </vt:variant>
      <vt:variant>
        <vt:i4>144</vt:i4>
      </vt:variant>
      <vt:variant>
        <vt:i4>0</vt:i4>
      </vt:variant>
      <vt:variant>
        <vt:i4>5</vt:i4>
      </vt:variant>
      <vt:variant>
        <vt:lpwstr>https://www.sseg.org.za/cos/</vt:lpwstr>
      </vt:variant>
      <vt:variant>
        <vt:lpwstr/>
      </vt:variant>
      <vt:variant>
        <vt:i4>1704010</vt:i4>
      </vt:variant>
      <vt:variant>
        <vt:i4>141</vt:i4>
      </vt:variant>
      <vt:variant>
        <vt:i4>0</vt:i4>
      </vt:variant>
      <vt:variant>
        <vt:i4>5</vt:i4>
      </vt:variant>
      <vt:variant>
        <vt:lpwstr>https://www.eskom.co.za/distribution/wpcontent/uploads/2021/06/ElectricityPricingPolicy19Dec2008.pdf</vt:lpwstr>
      </vt:variant>
      <vt:variant>
        <vt:lpwstr/>
      </vt:variant>
      <vt:variant>
        <vt:i4>1966107</vt:i4>
      </vt:variant>
      <vt:variant>
        <vt:i4>138</vt:i4>
      </vt:variant>
      <vt:variant>
        <vt:i4>0</vt:i4>
      </vt:variant>
      <vt:variant>
        <vt:i4>5</vt:i4>
      </vt:variant>
      <vt:variant>
        <vt:lpwstr>https://www.eskom.co.za/distribution/wp-content/uploads/2022/03/RSA-Distribution-Code-Definitions-Ver-6.2.pdf</vt:lpwstr>
      </vt:variant>
      <vt:variant>
        <vt:lpwstr/>
      </vt:variant>
      <vt:variant>
        <vt:i4>3801119</vt:i4>
      </vt:variant>
      <vt:variant>
        <vt:i4>135</vt:i4>
      </vt:variant>
      <vt:variant>
        <vt:i4>0</vt:i4>
      </vt:variant>
      <vt:variant>
        <vt:i4>5</vt:i4>
      </vt:variant>
      <vt:variant>
        <vt:lpwstr>https://www.cityenergy.org.za/uploads/resource_451.pdf</vt:lpwstr>
      </vt:variant>
      <vt:variant>
        <vt:lpwstr/>
      </vt:variant>
      <vt:variant>
        <vt:i4>5505089</vt:i4>
      </vt:variant>
      <vt:variant>
        <vt:i4>132</vt:i4>
      </vt:variant>
      <vt:variant>
        <vt:i4>0</vt:i4>
      </vt:variant>
      <vt:variant>
        <vt:i4>5</vt:i4>
      </vt:variant>
      <vt:variant>
        <vt:lpwstr>https://www.energy.gov.za/files/policies/ELECTRICITY REGULATION ACT 4 OF 2006.pdf</vt:lpwstr>
      </vt:variant>
      <vt:variant>
        <vt:lpwstr/>
      </vt:variant>
      <vt:variant>
        <vt:i4>1441854</vt:i4>
      </vt:variant>
      <vt:variant>
        <vt:i4>125</vt:i4>
      </vt:variant>
      <vt:variant>
        <vt:i4>0</vt:i4>
      </vt:variant>
      <vt:variant>
        <vt:i4>5</vt:i4>
      </vt:variant>
      <vt:variant>
        <vt:lpwstr/>
      </vt:variant>
      <vt:variant>
        <vt:lpwstr>_Toc140785775</vt:lpwstr>
      </vt:variant>
      <vt:variant>
        <vt:i4>1441854</vt:i4>
      </vt:variant>
      <vt:variant>
        <vt:i4>119</vt:i4>
      </vt:variant>
      <vt:variant>
        <vt:i4>0</vt:i4>
      </vt:variant>
      <vt:variant>
        <vt:i4>5</vt:i4>
      </vt:variant>
      <vt:variant>
        <vt:lpwstr/>
      </vt:variant>
      <vt:variant>
        <vt:lpwstr>_Toc140785774</vt:lpwstr>
      </vt:variant>
      <vt:variant>
        <vt:i4>1441854</vt:i4>
      </vt:variant>
      <vt:variant>
        <vt:i4>113</vt:i4>
      </vt:variant>
      <vt:variant>
        <vt:i4>0</vt:i4>
      </vt:variant>
      <vt:variant>
        <vt:i4>5</vt:i4>
      </vt:variant>
      <vt:variant>
        <vt:lpwstr/>
      </vt:variant>
      <vt:variant>
        <vt:lpwstr>_Toc140785773</vt:lpwstr>
      </vt:variant>
      <vt:variant>
        <vt:i4>1441854</vt:i4>
      </vt:variant>
      <vt:variant>
        <vt:i4>107</vt:i4>
      </vt:variant>
      <vt:variant>
        <vt:i4>0</vt:i4>
      </vt:variant>
      <vt:variant>
        <vt:i4>5</vt:i4>
      </vt:variant>
      <vt:variant>
        <vt:lpwstr/>
      </vt:variant>
      <vt:variant>
        <vt:lpwstr>_Toc140785772</vt:lpwstr>
      </vt:variant>
      <vt:variant>
        <vt:i4>1441854</vt:i4>
      </vt:variant>
      <vt:variant>
        <vt:i4>101</vt:i4>
      </vt:variant>
      <vt:variant>
        <vt:i4>0</vt:i4>
      </vt:variant>
      <vt:variant>
        <vt:i4>5</vt:i4>
      </vt:variant>
      <vt:variant>
        <vt:lpwstr/>
      </vt:variant>
      <vt:variant>
        <vt:lpwstr>_Toc140785771</vt:lpwstr>
      </vt:variant>
      <vt:variant>
        <vt:i4>1441854</vt:i4>
      </vt:variant>
      <vt:variant>
        <vt:i4>95</vt:i4>
      </vt:variant>
      <vt:variant>
        <vt:i4>0</vt:i4>
      </vt:variant>
      <vt:variant>
        <vt:i4>5</vt:i4>
      </vt:variant>
      <vt:variant>
        <vt:lpwstr/>
      </vt:variant>
      <vt:variant>
        <vt:lpwstr>_Toc140785770</vt:lpwstr>
      </vt:variant>
      <vt:variant>
        <vt:i4>1507390</vt:i4>
      </vt:variant>
      <vt:variant>
        <vt:i4>89</vt:i4>
      </vt:variant>
      <vt:variant>
        <vt:i4>0</vt:i4>
      </vt:variant>
      <vt:variant>
        <vt:i4>5</vt:i4>
      </vt:variant>
      <vt:variant>
        <vt:lpwstr/>
      </vt:variant>
      <vt:variant>
        <vt:lpwstr>_Toc140785769</vt:lpwstr>
      </vt:variant>
      <vt:variant>
        <vt:i4>1507390</vt:i4>
      </vt:variant>
      <vt:variant>
        <vt:i4>83</vt:i4>
      </vt:variant>
      <vt:variant>
        <vt:i4>0</vt:i4>
      </vt:variant>
      <vt:variant>
        <vt:i4>5</vt:i4>
      </vt:variant>
      <vt:variant>
        <vt:lpwstr/>
      </vt:variant>
      <vt:variant>
        <vt:lpwstr>_Toc140785768</vt:lpwstr>
      </vt:variant>
      <vt:variant>
        <vt:i4>1507390</vt:i4>
      </vt:variant>
      <vt:variant>
        <vt:i4>77</vt:i4>
      </vt:variant>
      <vt:variant>
        <vt:i4>0</vt:i4>
      </vt:variant>
      <vt:variant>
        <vt:i4>5</vt:i4>
      </vt:variant>
      <vt:variant>
        <vt:lpwstr/>
      </vt:variant>
      <vt:variant>
        <vt:lpwstr>_Toc140785767</vt:lpwstr>
      </vt:variant>
      <vt:variant>
        <vt:i4>1507390</vt:i4>
      </vt:variant>
      <vt:variant>
        <vt:i4>71</vt:i4>
      </vt:variant>
      <vt:variant>
        <vt:i4>0</vt:i4>
      </vt:variant>
      <vt:variant>
        <vt:i4>5</vt:i4>
      </vt:variant>
      <vt:variant>
        <vt:lpwstr/>
      </vt:variant>
      <vt:variant>
        <vt:lpwstr>_Toc140785766</vt:lpwstr>
      </vt:variant>
      <vt:variant>
        <vt:i4>1507390</vt:i4>
      </vt:variant>
      <vt:variant>
        <vt:i4>65</vt:i4>
      </vt:variant>
      <vt:variant>
        <vt:i4>0</vt:i4>
      </vt:variant>
      <vt:variant>
        <vt:i4>5</vt:i4>
      </vt:variant>
      <vt:variant>
        <vt:lpwstr/>
      </vt:variant>
      <vt:variant>
        <vt:lpwstr>_Toc140785765</vt:lpwstr>
      </vt:variant>
      <vt:variant>
        <vt:i4>1507390</vt:i4>
      </vt:variant>
      <vt:variant>
        <vt:i4>59</vt:i4>
      </vt:variant>
      <vt:variant>
        <vt:i4>0</vt:i4>
      </vt:variant>
      <vt:variant>
        <vt:i4>5</vt:i4>
      </vt:variant>
      <vt:variant>
        <vt:lpwstr/>
      </vt:variant>
      <vt:variant>
        <vt:lpwstr>_Toc140785764</vt:lpwstr>
      </vt:variant>
      <vt:variant>
        <vt:i4>1507390</vt:i4>
      </vt:variant>
      <vt:variant>
        <vt:i4>53</vt:i4>
      </vt:variant>
      <vt:variant>
        <vt:i4>0</vt:i4>
      </vt:variant>
      <vt:variant>
        <vt:i4>5</vt:i4>
      </vt:variant>
      <vt:variant>
        <vt:lpwstr/>
      </vt:variant>
      <vt:variant>
        <vt:lpwstr>_Toc140785763</vt:lpwstr>
      </vt:variant>
      <vt:variant>
        <vt:i4>1507390</vt:i4>
      </vt:variant>
      <vt:variant>
        <vt:i4>47</vt:i4>
      </vt:variant>
      <vt:variant>
        <vt:i4>0</vt:i4>
      </vt:variant>
      <vt:variant>
        <vt:i4>5</vt:i4>
      </vt:variant>
      <vt:variant>
        <vt:lpwstr/>
      </vt:variant>
      <vt:variant>
        <vt:lpwstr>_Toc140785762</vt:lpwstr>
      </vt:variant>
      <vt:variant>
        <vt:i4>1507390</vt:i4>
      </vt:variant>
      <vt:variant>
        <vt:i4>41</vt:i4>
      </vt:variant>
      <vt:variant>
        <vt:i4>0</vt:i4>
      </vt:variant>
      <vt:variant>
        <vt:i4>5</vt:i4>
      </vt:variant>
      <vt:variant>
        <vt:lpwstr/>
      </vt:variant>
      <vt:variant>
        <vt:lpwstr>_Toc140785761</vt:lpwstr>
      </vt:variant>
      <vt:variant>
        <vt:i4>1507390</vt:i4>
      </vt:variant>
      <vt:variant>
        <vt:i4>35</vt:i4>
      </vt:variant>
      <vt:variant>
        <vt:i4>0</vt:i4>
      </vt:variant>
      <vt:variant>
        <vt:i4>5</vt:i4>
      </vt:variant>
      <vt:variant>
        <vt:lpwstr/>
      </vt:variant>
      <vt:variant>
        <vt:lpwstr>_Toc140785760</vt:lpwstr>
      </vt:variant>
      <vt:variant>
        <vt:i4>1310782</vt:i4>
      </vt:variant>
      <vt:variant>
        <vt:i4>29</vt:i4>
      </vt:variant>
      <vt:variant>
        <vt:i4>0</vt:i4>
      </vt:variant>
      <vt:variant>
        <vt:i4>5</vt:i4>
      </vt:variant>
      <vt:variant>
        <vt:lpwstr/>
      </vt:variant>
      <vt:variant>
        <vt:lpwstr>_Toc140785759</vt:lpwstr>
      </vt:variant>
      <vt:variant>
        <vt:i4>1310782</vt:i4>
      </vt:variant>
      <vt:variant>
        <vt:i4>23</vt:i4>
      </vt:variant>
      <vt:variant>
        <vt:i4>0</vt:i4>
      </vt:variant>
      <vt:variant>
        <vt:i4>5</vt:i4>
      </vt:variant>
      <vt:variant>
        <vt:lpwstr/>
      </vt:variant>
      <vt:variant>
        <vt:lpwstr>_Toc140785758</vt:lpwstr>
      </vt:variant>
      <vt:variant>
        <vt:i4>1310782</vt:i4>
      </vt:variant>
      <vt:variant>
        <vt:i4>17</vt:i4>
      </vt:variant>
      <vt:variant>
        <vt:i4>0</vt:i4>
      </vt:variant>
      <vt:variant>
        <vt:i4>5</vt:i4>
      </vt:variant>
      <vt:variant>
        <vt:lpwstr/>
      </vt:variant>
      <vt:variant>
        <vt:lpwstr>_Toc140785757</vt:lpwstr>
      </vt:variant>
      <vt:variant>
        <vt:i4>1310782</vt:i4>
      </vt:variant>
      <vt:variant>
        <vt:i4>11</vt:i4>
      </vt:variant>
      <vt:variant>
        <vt:i4>0</vt:i4>
      </vt:variant>
      <vt:variant>
        <vt:i4>5</vt:i4>
      </vt:variant>
      <vt:variant>
        <vt:lpwstr/>
      </vt:variant>
      <vt:variant>
        <vt:lpwstr>_Toc140785756</vt:lpwstr>
      </vt:variant>
      <vt:variant>
        <vt:i4>1310782</vt:i4>
      </vt:variant>
      <vt:variant>
        <vt:i4>5</vt:i4>
      </vt:variant>
      <vt:variant>
        <vt:i4>0</vt:i4>
      </vt:variant>
      <vt:variant>
        <vt:i4>5</vt:i4>
      </vt:variant>
      <vt:variant>
        <vt:lpwstr/>
      </vt:variant>
      <vt:variant>
        <vt:lpwstr>_Toc140785755</vt:lpwstr>
      </vt:variant>
      <vt:variant>
        <vt:i4>4259925</vt:i4>
      </vt:variant>
      <vt:variant>
        <vt:i4>0</vt:i4>
      </vt:variant>
      <vt:variant>
        <vt:i4>0</vt:i4>
      </vt:variant>
      <vt:variant>
        <vt:i4>5</vt:i4>
      </vt:variant>
      <vt:variant>
        <vt:lpwstr>https://www.sseg.org.za/cos/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Rashid Khan</dc:creator>
  <cp:keywords/>
  <cp:lastModifiedBy>Rashid Khan</cp:lastModifiedBy>
  <cp:revision>47</cp:revision>
  <dcterms:created xsi:type="dcterms:W3CDTF">2023-09-03T13:28:00Z</dcterms:created>
  <dcterms:modified xsi:type="dcterms:W3CDTF">2023-09-13T06:35:00Z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2a725a0aeee5f54d883cbb0120332cfa253bbeedc1a0f86f5f11a8d15b5c2a34</vt:lpwstr>
  </property>
  <property fmtid="{D5CDD505-2E9C-101B-9397-08002B2CF9AE}" pid="3" name="ContentTypeId">
    <vt:lpwstr>0x0101002B40E481C9FC5A469B54B1CBE40EAA3B</vt:lpwstr>
  </property>
  <property fmtid="{D5CDD505-2E9C-101B-9397-08002B2CF9AE}" pid="4" name="MediaServiceImageTags">
    <vt:lpwstr/>
  </property>
</Properties>
</file>